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DE5E85" w:rsidRPr="00687774" w14:paraId="2F780D8A" w14:textId="77777777" w:rsidTr="00DE5E85">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741F62" w:rsidRPr="00687774" w14:paraId="0F82F27B" w14:textId="77777777" w:rsidTr="002C77D1">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6D8AAAA7" w14:textId="77777777" w:rsidR="00CD14D2" w:rsidRPr="0087764A" w:rsidRDefault="00CD14D2" w:rsidP="00CD14D2">
            <w:pPr>
              <w:rPr>
                <w:rFonts w:ascii="Arial" w:hAnsi="Arial" w:cs="Arial"/>
                <w:sz w:val="18"/>
                <w:szCs w:val="18"/>
              </w:rPr>
            </w:pPr>
            <w:r w:rsidRPr="0087764A">
              <w:rPr>
                <w:rFonts w:ascii="Arial" w:hAnsi="Arial" w:cs="Arial"/>
                <w:sz w:val="18"/>
                <w:szCs w:val="18"/>
              </w:rPr>
              <w:t>ELEXACAFTOR/</w:t>
            </w:r>
          </w:p>
          <w:p w14:paraId="527DB931" w14:textId="43EE4BCA" w:rsidR="00CD14D2" w:rsidRPr="0087764A" w:rsidRDefault="00CD14D2" w:rsidP="00CD14D2">
            <w:pPr>
              <w:rPr>
                <w:rFonts w:ascii="Arial" w:hAnsi="Arial" w:cs="Arial"/>
                <w:sz w:val="18"/>
                <w:szCs w:val="18"/>
              </w:rPr>
            </w:pPr>
            <w:r w:rsidRPr="0087764A">
              <w:rPr>
                <w:rFonts w:ascii="Arial" w:hAnsi="Arial" w:cs="Arial"/>
                <w:sz w:val="18"/>
                <w:szCs w:val="18"/>
              </w:rPr>
              <w:t>TEZ</w:t>
            </w:r>
            <w:r w:rsidR="00CE6E72">
              <w:rPr>
                <w:rFonts w:ascii="Arial" w:hAnsi="Arial" w:cs="Arial"/>
                <w:sz w:val="18"/>
                <w:szCs w:val="18"/>
              </w:rPr>
              <w:t>A</w:t>
            </w:r>
            <w:r w:rsidRPr="0087764A">
              <w:rPr>
                <w:rFonts w:ascii="Arial" w:hAnsi="Arial" w:cs="Arial"/>
                <w:sz w:val="18"/>
                <w:szCs w:val="18"/>
              </w:rPr>
              <w:t>CAFTOR/</w:t>
            </w:r>
          </w:p>
          <w:p w14:paraId="224B549F" w14:textId="7BC1BD07" w:rsidR="00CD14D2" w:rsidRPr="0087764A" w:rsidRDefault="00CD14D2" w:rsidP="00CD14D2">
            <w:pPr>
              <w:rPr>
                <w:rFonts w:ascii="Arial" w:hAnsi="Arial" w:cs="Arial"/>
                <w:sz w:val="18"/>
                <w:szCs w:val="18"/>
              </w:rPr>
            </w:pPr>
            <w:r w:rsidRPr="0087764A">
              <w:rPr>
                <w:rFonts w:ascii="Arial" w:hAnsi="Arial" w:cs="Arial"/>
                <w:sz w:val="18"/>
                <w:szCs w:val="18"/>
              </w:rPr>
              <w:t>IVACAFTOR</w:t>
            </w:r>
          </w:p>
          <w:p w14:paraId="7A0B83FD" w14:textId="26D38948" w:rsidR="00635314" w:rsidRDefault="00635314" w:rsidP="007414B9">
            <w:pPr>
              <w:rPr>
                <w:rFonts w:ascii="Arial" w:hAnsi="Arial" w:cs="Arial"/>
                <w:sz w:val="18"/>
                <w:szCs w:val="18"/>
              </w:rPr>
            </w:pPr>
          </w:p>
          <w:p w14:paraId="0EE129AF" w14:textId="77777777" w:rsidR="00CD14D2" w:rsidRPr="0087764A" w:rsidRDefault="00CD14D2" w:rsidP="00CD14D2">
            <w:pPr>
              <w:rPr>
                <w:rFonts w:ascii="Arial" w:hAnsi="Arial" w:cs="Arial"/>
                <w:sz w:val="18"/>
                <w:szCs w:val="18"/>
              </w:rPr>
            </w:pPr>
            <w:r w:rsidRPr="0087764A">
              <w:rPr>
                <w:rFonts w:ascii="Arial" w:hAnsi="Arial" w:cs="Arial"/>
                <w:sz w:val="18"/>
                <w:szCs w:val="18"/>
              </w:rPr>
              <w:t xml:space="preserve">Pack containing 56 tablets of </w:t>
            </w:r>
            <w:proofErr w:type="spellStart"/>
            <w:r w:rsidRPr="0087764A">
              <w:rPr>
                <w:rFonts w:ascii="Arial" w:hAnsi="Arial" w:cs="Arial"/>
                <w:sz w:val="18"/>
                <w:szCs w:val="18"/>
              </w:rPr>
              <w:t>elexacaftor</w:t>
            </w:r>
            <w:proofErr w:type="spellEnd"/>
            <w:r w:rsidRPr="0087764A">
              <w:rPr>
                <w:rFonts w:ascii="Arial" w:hAnsi="Arial" w:cs="Arial"/>
                <w:sz w:val="18"/>
                <w:szCs w:val="18"/>
              </w:rPr>
              <w:t xml:space="preserve"> 100 mg with </w:t>
            </w:r>
            <w:proofErr w:type="spellStart"/>
            <w:r w:rsidRPr="0087764A">
              <w:rPr>
                <w:rFonts w:ascii="Arial" w:hAnsi="Arial" w:cs="Arial"/>
                <w:sz w:val="18"/>
                <w:szCs w:val="18"/>
              </w:rPr>
              <w:t>tezacaftor</w:t>
            </w:r>
            <w:proofErr w:type="spellEnd"/>
            <w:r w:rsidRPr="0087764A">
              <w:rPr>
                <w:rFonts w:ascii="Arial" w:hAnsi="Arial" w:cs="Arial"/>
                <w:sz w:val="18"/>
                <w:szCs w:val="18"/>
              </w:rPr>
              <w:t xml:space="preserve"> 50 mg and ivacaftor 75 mg and 28 tablets of ivacaftor 150 mg</w:t>
            </w:r>
          </w:p>
          <w:p w14:paraId="6955CED2" w14:textId="1BEC3B77" w:rsidR="00635314" w:rsidRDefault="00635314" w:rsidP="00CD14D2">
            <w:pPr>
              <w:jc w:val="both"/>
              <w:rPr>
                <w:rFonts w:ascii="Arial" w:hAnsi="Arial" w:cs="Arial"/>
                <w:sz w:val="18"/>
                <w:szCs w:val="18"/>
              </w:rPr>
            </w:pPr>
          </w:p>
          <w:p w14:paraId="50B2014C" w14:textId="08504801" w:rsidR="00635314" w:rsidRDefault="00635314" w:rsidP="007414B9">
            <w:pPr>
              <w:rPr>
                <w:rFonts w:ascii="Arial" w:hAnsi="Arial" w:cs="Arial"/>
                <w:sz w:val="18"/>
                <w:szCs w:val="18"/>
              </w:rPr>
            </w:pPr>
            <w:proofErr w:type="spellStart"/>
            <w:r>
              <w:rPr>
                <w:rFonts w:ascii="Arial" w:hAnsi="Arial" w:cs="Arial"/>
                <w:sz w:val="18"/>
                <w:szCs w:val="18"/>
              </w:rPr>
              <w:t>Trikafta</w:t>
            </w:r>
            <w:proofErr w:type="spellEnd"/>
            <w:r>
              <w:rPr>
                <w:rFonts w:ascii="Arial" w:hAnsi="Arial" w:cs="Arial"/>
                <w:sz w:val="18"/>
                <w:szCs w:val="18"/>
              </w:rPr>
              <w:t>®</w:t>
            </w:r>
          </w:p>
          <w:p w14:paraId="0AE70092" w14:textId="5B0D88F9" w:rsidR="00635314" w:rsidRDefault="00635314" w:rsidP="007414B9">
            <w:pPr>
              <w:rPr>
                <w:rFonts w:ascii="Arial" w:hAnsi="Arial" w:cs="Arial"/>
                <w:sz w:val="18"/>
                <w:szCs w:val="18"/>
              </w:rPr>
            </w:pPr>
          </w:p>
          <w:p w14:paraId="314CB18B" w14:textId="54B8716A" w:rsidR="00635314" w:rsidRDefault="00635314" w:rsidP="007414B9">
            <w:pPr>
              <w:rPr>
                <w:rFonts w:ascii="Arial" w:hAnsi="Arial" w:cs="Arial"/>
                <w:sz w:val="18"/>
                <w:szCs w:val="18"/>
              </w:rPr>
            </w:pPr>
            <w:r>
              <w:rPr>
                <w:rFonts w:ascii="Arial" w:hAnsi="Arial" w:cs="Arial"/>
                <w:sz w:val="18"/>
                <w:szCs w:val="18"/>
              </w:rPr>
              <w:t>Vertex Pharmaceuticals Australia Pty Ltd</w:t>
            </w:r>
          </w:p>
          <w:p w14:paraId="62B204CC" w14:textId="6B1C413B" w:rsidR="00741F62" w:rsidRDefault="00741F62" w:rsidP="007414B9">
            <w:pPr>
              <w:rPr>
                <w:rFonts w:ascii="Arial" w:hAnsi="Arial" w:cs="Arial"/>
                <w:sz w:val="18"/>
                <w:szCs w:val="18"/>
              </w:rPr>
            </w:pPr>
          </w:p>
          <w:p w14:paraId="032EFB5F" w14:textId="63F02452" w:rsidR="00CD14D2" w:rsidRDefault="00CD14D2" w:rsidP="007414B9">
            <w:pPr>
              <w:rPr>
                <w:rFonts w:ascii="Arial" w:hAnsi="Arial" w:cs="Arial"/>
                <w:sz w:val="18"/>
                <w:szCs w:val="18"/>
              </w:rPr>
            </w:pPr>
            <w:r>
              <w:rPr>
                <w:rFonts w:ascii="Arial" w:hAnsi="Arial" w:cs="Arial"/>
                <w:sz w:val="18"/>
                <w:szCs w:val="18"/>
              </w:rPr>
              <w:t>Early Re-entry</w:t>
            </w:r>
            <w:r w:rsidR="00827175">
              <w:rPr>
                <w:rFonts w:ascii="Arial" w:hAnsi="Arial" w:cs="Arial"/>
                <w:sz w:val="18"/>
                <w:szCs w:val="18"/>
              </w:rPr>
              <w:t xml:space="preserve"> Re</w:t>
            </w:r>
            <w:r>
              <w:rPr>
                <w:rFonts w:ascii="Arial" w:hAnsi="Arial" w:cs="Arial"/>
                <w:sz w:val="18"/>
                <w:szCs w:val="18"/>
              </w:rPr>
              <w:t>submission</w:t>
            </w:r>
          </w:p>
          <w:p w14:paraId="690E38E1" w14:textId="351094C8" w:rsidR="00741F62" w:rsidRDefault="00635314" w:rsidP="007414B9">
            <w:pPr>
              <w:rPr>
                <w:rFonts w:ascii="Arial" w:hAnsi="Arial" w:cs="Arial"/>
                <w:sz w:val="18"/>
                <w:szCs w:val="18"/>
              </w:rPr>
            </w:pPr>
            <w:r>
              <w:rPr>
                <w:rFonts w:ascii="Arial" w:hAnsi="Arial" w:cs="Arial"/>
                <w:sz w:val="18"/>
                <w:szCs w:val="18"/>
              </w:rPr>
              <w:t>(New PBS listing)</w:t>
            </w:r>
          </w:p>
        </w:tc>
        <w:tc>
          <w:tcPr>
            <w:tcW w:w="552" w:type="pct"/>
            <w:tcBorders>
              <w:top w:val="single" w:sz="4" w:space="0" w:color="auto"/>
              <w:left w:val="single" w:sz="4" w:space="0" w:color="auto"/>
              <w:right w:val="single" w:sz="4" w:space="0" w:color="auto"/>
            </w:tcBorders>
            <w:shd w:val="clear" w:color="auto" w:fill="auto"/>
            <w:vAlign w:val="center"/>
          </w:tcPr>
          <w:p w14:paraId="61A8F078" w14:textId="7D1494F7" w:rsidR="00741F62" w:rsidRPr="0067649E" w:rsidRDefault="00635314" w:rsidP="00EF74BA">
            <w:pPr>
              <w:widowControl w:val="0"/>
              <w:rPr>
                <w:rFonts w:ascii="Arial" w:hAnsi="Arial" w:cs="Arial"/>
                <w:snapToGrid w:val="0"/>
                <w:sz w:val="18"/>
                <w:szCs w:val="18"/>
                <w:lang w:eastAsia="en-US"/>
              </w:rPr>
            </w:pPr>
            <w:r>
              <w:rPr>
                <w:rFonts w:ascii="Arial" w:hAnsi="Arial" w:cs="Arial"/>
                <w:snapToGrid w:val="0"/>
                <w:sz w:val="18"/>
                <w:szCs w:val="18"/>
                <w:lang w:eastAsia="en-US"/>
              </w:rPr>
              <w:t>Cystic fibrosis</w:t>
            </w:r>
            <w:r w:rsidR="00827175">
              <w:rPr>
                <w:rFonts w:ascii="Arial" w:hAnsi="Arial" w:cs="Arial"/>
                <w:snapToGrid w:val="0"/>
                <w:sz w:val="18"/>
                <w:szCs w:val="18"/>
                <w:lang w:eastAsia="en-US"/>
              </w:rPr>
              <w:t xml:space="preserve"> (CF)</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291E188B" w14:textId="18D415D5" w:rsidR="00741F62" w:rsidRPr="0067649E" w:rsidRDefault="00635314" w:rsidP="007414B9">
            <w:pPr>
              <w:pStyle w:val="ListParagraph"/>
              <w:ind w:left="0"/>
              <w:rPr>
                <w:rFonts w:ascii="Arial" w:hAnsi="Arial" w:cs="Arial"/>
                <w:snapToGrid w:val="0"/>
                <w:sz w:val="18"/>
                <w:szCs w:val="18"/>
                <w:lang w:eastAsia="en-US"/>
              </w:rPr>
            </w:pPr>
            <w:r w:rsidRPr="00635314">
              <w:rPr>
                <w:rFonts w:ascii="Arial" w:hAnsi="Arial" w:cs="Arial"/>
                <w:snapToGrid w:val="0"/>
                <w:sz w:val="18"/>
                <w:szCs w:val="18"/>
                <w:lang w:eastAsia="en-US"/>
              </w:rPr>
              <w:t>Early re-entry submission to request PBS listing for CF in patients aged 12 years or older who have at least one F508del mutation on the cystic fibrosis transmembrane conductance regulator (CFTR) gene.</w:t>
            </w:r>
          </w:p>
        </w:tc>
        <w:tc>
          <w:tcPr>
            <w:tcW w:w="553" w:type="pct"/>
            <w:tcBorders>
              <w:top w:val="single" w:sz="4" w:space="0" w:color="auto"/>
              <w:left w:val="single" w:sz="4" w:space="0" w:color="auto"/>
              <w:right w:val="single" w:sz="4" w:space="0" w:color="auto"/>
            </w:tcBorders>
            <w:shd w:val="clear" w:color="auto" w:fill="auto"/>
            <w:vAlign w:val="center"/>
          </w:tcPr>
          <w:p w14:paraId="02A04406" w14:textId="705971DE" w:rsidR="00741F62" w:rsidRDefault="00635314"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52D141D2" w14:textId="6A127335" w:rsidR="00635314" w:rsidRPr="00635314" w:rsidRDefault="00635314" w:rsidP="00635314">
            <w:pPr>
              <w:spacing w:after="120"/>
              <w:rPr>
                <w:rFonts w:ascii="Arial" w:hAnsi="Arial" w:cs="Arial"/>
                <w:color w:val="000000"/>
                <w:sz w:val="18"/>
                <w:szCs w:val="18"/>
              </w:rPr>
            </w:pPr>
            <w:r w:rsidRPr="00635314">
              <w:rPr>
                <w:rFonts w:ascii="Arial" w:hAnsi="Arial" w:cs="Arial"/>
                <w:color w:val="000000"/>
                <w:sz w:val="18"/>
                <w:szCs w:val="18"/>
              </w:rPr>
              <w:t xml:space="preserve">The PBAC recommended the listing of </w:t>
            </w:r>
            <w:proofErr w:type="spellStart"/>
            <w:r w:rsidRPr="00635314">
              <w:rPr>
                <w:rFonts w:ascii="Arial" w:hAnsi="Arial" w:cs="Arial"/>
                <w:color w:val="000000"/>
                <w:sz w:val="18"/>
                <w:szCs w:val="18"/>
              </w:rPr>
              <w:t>elexacaftor</w:t>
            </w:r>
            <w:proofErr w:type="spellEnd"/>
            <w:r w:rsidRPr="00635314">
              <w:rPr>
                <w:rFonts w:ascii="Arial" w:hAnsi="Arial" w:cs="Arial"/>
                <w:color w:val="000000"/>
                <w:sz w:val="18"/>
                <w:szCs w:val="18"/>
              </w:rPr>
              <w:t>/</w:t>
            </w:r>
            <w:proofErr w:type="spellStart"/>
            <w:r w:rsidRPr="00635314">
              <w:rPr>
                <w:rFonts w:ascii="Arial" w:hAnsi="Arial" w:cs="Arial"/>
                <w:color w:val="000000"/>
                <w:sz w:val="18"/>
                <w:szCs w:val="18"/>
              </w:rPr>
              <w:t>tezacaftor</w:t>
            </w:r>
            <w:proofErr w:type="spellEnd"/>
            <w:r w:rsidRPr="00635314">
              <w:rPr>
                <w:rFonts w:ascii="Arial" w:hAnsi="Arial" w:cs="Arial"/>
                <w:color w:val="000000"/>
                <w:sz w:val="18"/>
                <w:szCs w:val="18"/>
              </w:rPr>
              <w:t xml:space="preserve">/ivacaftor (ELX/TEZ/IVA) for the treatment of CF patients aged 12 years and older who have at least one F508del mutation in the CFTR gene (F/any population). </w:t>
            </w:r>
          </w:p>
          <w:p w14:paraId="40D6FD24" w14:textId="77777777" w:rsidR="00635314" w:rsidRPr="00635314" w:rsidRDefault="00635314" w:rsidP="00635314">
            <w:pPr>
              <w:spacing w:after="120"/>
              <w:rPr>
                <w:rFonts w:ascii="Arial" w:hAnsi="Arial" w:cs="Arial"/>
                <w:color w:val="000000"/>
                <w:sz w:val="18"/>
                <w:szCs w:val="18"/>
              </w:rPr>
            </w:pPr>
          </w:p>
          <w:p w14:paraId="595E3E25" w14:textId="5B306152" w:rsidR="00741F62" w:rsidRPr="0067649E" w:rsidRDefault="00635314" w:rsidP="00635314">
            <w:pPr>
              <w:spacing w:after="120"/>
              <w:rPr>
                <w:rFonts w:ascii="Arial" w:hAnsi="Arial" w:cs="Arial"/>
                <w:color w:val="000000"/>
                <w:sz w:val="18"/>
                <w:szCs w:val="18"/>
              </w:rPr>
            </w:pPr>
            <w:r w:rsidRPr="00635314">
              <w:rPr>
                <w:rFonts w:ascii="Arial" w:hAnsi="Arial" w:cs="Arial"/>
                <w:color w:val="000000"/>
                <w:sz w:val="18"/>
                <w:szCs w:val="18"/>
              </w:rPr>
              <w:t xml:space="preserve">The PBAC noted that the resubmission was not consistent with the Committee’s advice in March 2021 and May 2021 in relation to the F/any population </w:t>
            </w:r>
            <w:proofErr w:type="gramStart"/>
            <w:r w:rsidRPr="00635314">
              <w:rPr>
                <w:rFonts w:ascii="Arial" w:hAnsi="Arial" w:cs="Arial"/>
                <w:color w:val="000000"/>
                <w:sz w:val="18"/>
                <w:szCs w:val="18"/>
              </w:rPr>
              <w:t>with regard to</w:t>
            </w:r>
            <w:proofErr w:type="gramEnd"/>
            <w:r w:rsidRPr="00635314">
              <w:rPr>
                <w:rFonts w:ascii="Arial" w:hAnsi="Arial" w:cs="Arial"/>
                <w:color w:val="000000"/>
                <w:sz w:val="18"/>
                <w:szCs w:val="18"/>
              </w:rPr>
              <w:t xml:space="preserve"> the cost-effective price and the patient estimates. However, in making its recommendation, the PBAC noted that there was a high clinical need for ELX/TEZ/IVA especially for those patient populations that are not eligible for a currently PBS-subsidised CFTR modulator therapy. The PBAC considered that ELX/TEZ/IVA could be brought within an acceptable incremental cost effectiveness ratio range with a price reduction, and in the context of accepting the resubmission’s proposed patient estimates as reflecting the upper end of the range of likely use.</w:t>
            </w:r>
          </w:p>
        </w:tc>
      </w:tr>
      <w:tr w:rsidR="007414B9" w:rsidRPr="00687774" w14:paraId="6111200E" w14:textId="77777777" w:rsidTr="002C77D1">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2799D0E1" w14:textId="77777777" w:rsidR="002F6D5A" w:rsidRDefault="0067649E" w:rsidP="007414B9">
            <w:pPr>
              <w:rPr>
                <w:rFonts w:ascii="Arial" w:hAnsi="Arial" w:cs="Arial"/>
                <w:sz w:val="18"/>
                <w:szCs w:val="18"/>
              </w:rPr>
            </w:pPr>
            <w:r>
              <w:rPr>
                <w:rFonts w:ascii="Arial" w:hAnsi="Arial" w:cs="Arial"/>
                <w:sz w:val="18"/>
                <w:szCs w:val="18"/>
              </w:rPr>
              <w:t>LORLATINIB</w:t>
            </w:r>
          </w:p>
          <w:p w14:paraId="37F3FE73" w14:textId="77777777" w:rsidR="0067649E" w:rsidRDefault="0067649E" w:rsidP="007414B9">
            <w:pPr>
              <w:rPr>
                <w:rFonts w:ascii="Arial" w:hAnsi="Arial" w:cs="Arial"/>
                <w:sz w:val="18"/>
                <w:szCs w:val="18"/>
              </w:rPr>
            </w:pPr>
          </w:p>
          <w:p w14:paraId="3DBF1F8F" w14:textId="77777777" w:rsidR="0067649E" w:rsidRDefault="0067649E" w:rsidP="007414B9">
            <w:pPr>
              <w:rPr>
                <w:rFonts w:ascii="Arial" w:hAnsi="Arial" w:cs="Arial"/>
                <w:sz w:val="18"/>
                <w:szCs w:val="18"/>
              </w:rPr>
            </w:pPr>
            <w:r>
              <w:rPr>
                <w:rFonts w:ascii="Arial" w:hAnsi="Arial" w:cs="Arial"/>
                <w:sz w:val="18"/>
                <w:szCs w:val="18"/>
              </w:rPr>
              <w:t>Tablet 25 mg</w:t>
            </w:r>
          </w:p>
          <w:p w14:paraId="3E6D7C29" w14:textId="77777777" w:rsidR="0067649E" w:rsidRDefault="0067649E" w:rsidP="007414B9">
            <w:pPr>
              <w:rPr>
                <w:rFonts w:ascii="Arial" w:hAnsi="Arial" w:cs="Arial"/>
                <w:sz w:val="18"/>
                <w:szCs w:val="18"/>
              </w:rPr>
            </w:pPr>
            <w:r>
              <w:rPr>
                <w:rFonts w:ascii="Arial" w:hAnsi="Arial" w:cs="Arial"/>
                <w:sz w:val="18"/>
                <w:szCs w:val="18"/>
              </w:rPr>
              <w:t>Tablet 100 mg</w:t>
            </w:r>
          </w:p>
          <w:p w14:paraId="1DE9CF9F" w14:textId="77777777" w:rsidR="0067649E" w:rsidRDefault="0067649E" w:rsidP="007414B9">
            <w:pPr>
              <w:rPr>
                <w:rFonts w:ascii="Arial" w:hAnsi="Arial" w:cs="Arial"/>
                <w:sz w:val="18"/>
                <w:szCs w:val="18"/>
              </w:rPr>
            </w:pPr>
          </w:p>
          <w:p w14:paraId="0707C5F2" w14:textId="77777777" w:rsidR="0067649E" w:rsidRDefault="0067649E" w:rsidP="007414B9">
            <w:pPr>
              <w:rPr>
                <w:rFonts w:ascii="Arial" w:hAnsi="Arial" w:cs="Arial"/>
                <w:sz w:val="18"/>
                <w:szCs w:val="18"/>
              </w:rPr>
            </w:pPr>
            <w:proofErr w:type="spellStart"/>
            <w:r>
              <w:rPr>
                <w:rFonts w:ascii="Arial" w:hAnsi="Arial" w:cs="Arial"/>
                <w:sz w:val="18"/>
                <w:szCs w:val="18"/>
              </w:rPr>
              <w:t>Lorviqua</w:t>
            </w:r>
            <w:proofErr w:type="spellEnd"/>
            <w:r>
              <w:rPr>
                <w:rFonts w:ascii="Arial" w:hAnsi="Arial" w:cs="Arial"/>
                <w:sz w:val="18"/>
                <w:szCs w:val="18"/>
              </w:rPr>
              <w:t>®</w:t>
            </w:r>
          </w:p>
          <w:p w14:paraId="7C6DBDC2" w14:textId="77777777" w:rsidR="0067649E" w:rsidRDefault="0067649E" w:rsidP="007414B9">
            <w:pPr>
              <w:rPr>
                <w:rFonts w:ascii="Arial" w:hAnsi="Arial" w:cs="Arial"/>
                <w:sz w:val="18"/>
                <w:szCs w:val="18"/>
              </w:rPr>
            </w:pPr>
          </w:p>
          <w:p w14:paraId="21721453" w14:textId="77777777" w:rsidR="0067649E" w:rsidRDefault="0067649E" w:rsidP="007414B9">
            <w:pPr>
              <w:rPr>
                <w:rFonts w:ascii="Arial" w:hAnsi="Arial" w:cs="Arial"/>
                <w:sz w:val="18"/>
                <w:szCs w:val="18"/>
              </w:rPr>
            </w:pPr>
            <w:r>
              <w:rPr>
                <w:rFonts w:ascii="Arial" w:hAnsi="Arial" w:cs="Arial"/>
                <w:sz w:val="18"/>
                <w:szCs w:val="18"/>
              </w:rPr>
              <w:t>Pfizer Australia Pty Ltd</w:t>
            </w:r>
          </w:p>
          <w:p w14:paraId="1B128082" w14:textId="6F279490" w:rsidR="0067649E" w:rsidRDefault="0067649E" w:rsidP="007414B9">
            <w:pPr>
              <w:rPr>
                <w:rFonts w:ascii="Arial" w:hAnsi="Arial" w:cs="Arial"/>
                <w:sz w:val="18"/>
                <w:szCs w:val="18"/>
              </w:rPr>
            </w:pPr>
          </w:p>
          <w:p w14:paraId="2A623287" w14:textId="5B7407B1" w:rsidR="00CD14D2" w:rsidRDefault="00CD14D2" w:rsidP="007414B9">
            <w:pPr>
              <w:rPr>
                <w:rFonts w:ascii="Arial" w:hAnsi="Arial" w:cs="Arial"/>
                <w:sz w:val="18"/>
                <w:szCs w:val="18"/>
              </w:rPr>
            </w:pPr>
            <w:r>
              <w:rPr>
                <w:rFonts w:ascii="Arial" w:hAnsi="Arial" w:cs="Arial"/>
                <w:sz w:val="18"/>
                <w:szCs w:val="18"/>
              </w:rPr>
              <w:t>Category 2 submission</w:t>
            </w:r>
          </w:p>
          <w:p w14:paraId="36D061B8" w14:textId="4EEB0D18" w:rsidR="0067649E" w:rsidRDefault="0067649E" w:rsidP="007414B9">
            <w:pPr>
              <w:rPr>
                <w:rFonts w:ascii="Arial" w:hAnsi="Arial" w:cs="Arial"/>
                <w:sz w:val="18"/>
                <w:szCs w:val="18"/>
              </w:rPr>
            </w:pPr>
            <w:r>
              <w:rPr>
                <w:rFonts w:ascii="Arial" w:hAnsi="Arial" w:cs="Arial"/>
                <w:sz w:val="18"/>
                <w:szCs w:val="18"/>
              </w:rPr>
              <w:t>(</w:t>
            </w:r>
            <w:r w:rsidR="0021261D">
              <w:rPr>
                <w:rFonts w:ascii="Arial" w:hAnsi="Arial" w:cs="Arial"/>
                <w:sz w:val="18"/>
                <w:szCs w:val="18"/>
              </w:rPr>
              <w:t>Change to</w:t>
            </w:r>
            <w:r w:rsidR="00475B4D">
              <w:rPr>
                <w:rFonts w:ascii="Arial" w:hAnsi="Arial" w:cs="Arial"/>
                <w:sz w:val="18"/>
                <w:szCs w:val="18"/>
              </w:rPr>
              <w:t xml:space="preserve"> </w:t>
            </w:r>
            <w:r>
              <w:rPr>
                <w:rFonts w:ascii="Arial" w:hAnsi="Arial" w:cs="Arial"/>
                <w:sz w:val="18"/>
                <w:szCs w:val="18"/>
              </w:rPr>
              <w:t>PBS listing)</w:t>
            </w:r>
          </w:p>
        </w:tc>
        <w:tc>
          <w:tcPr>
            <w:tcW w:w="552" w:type="pct"/>
            <w:tcBorders>
              <w:top w:val="single" w:sz="4" w:space="0" w:color="auto"/>
              <w:left w:val="single" w:sz="4" w:space="0" w:color="auto"/>
              <w:right w:val="single" w:sz="4" w:space="0" w:color="auto"/>
            </w:tcBorders>
            <w:shd w:val="clear" w:color="auto" w:fill="auto"/>
            <w:vAlign w:val="center"/>
          </w:tcPr>
          <w:p w14:paraId="7341B392" w14:textId="118D98D3" w:rsidR="007414B9" w:rsidRDefault="0067649E" w:rsidP="007414B9">
            <w:pPr>
              <w:widowControl w:val="0"/>
              <w:rPr>
                <w:rFonts w:ascii="Arial" w:hAnsi="Arial" w:cs="Arial"/>
                <w:snapToGrid w:val="0"/>
                <w:sz w:val="18"/>
                <w:szCs w:val="18"/>
                <w:lang w:eastAsia="en-US"/>
              </w:rPr>
            </w:pPr>
            <w:r w:rsidRPr="0067649E">
              <w:rPr>
                <w:rFonts w:ascii="Arial" w:hAnsi="Arial" w:cs="Arial"/>
                <w:snapToGrid w:val="0"/>
                <w:sz w:val="18"/>
                <w:szCs w:val="18"/>
                <w:lang w:eastAsia="en-US"/>
              </w:rPr>
              <w:t>Locally advanced (stage IIIB) or metastatic (stage IV) anaplastic lymphoma kinase (ALK)-positive non</w:t>
            </w:r>
            <w:r w:rsidRPr="0067649E">
              <w:rPr>
                <w:rFonts w:ascii="Cambria Math" w:hAnsi="Cambria Math" w:cs="Cambria Math"/>
                <w:snapToGrid w:val="0"/>
                <w:sz w:val="18"/>
                <w:szCs w:val="18"/>
                <w:lang w:eastAsia="en-US"/>
              </w:rPr>
              <w:t>‑</w:t>
            </w:r>
            <w:r w:rsidRPr="0067649E">
              <w:rPr>
                <w:rFonts w:ascii="Arial" w:hAnsi="Arial" w:cs="Arial"/>
                <w:snapToGrid w:val="0"/>
                <w:sz w:val="18"/>
                <w:szCs w:val="18"/>
                <w:lang w:eastAsia="en-US"/>
              </w:rPr>
              <w:t>small cell lung cancer (NSCLC)</w:t>
            </w:r>
          </w:p>
        </w:tc>
        <w:tc>
          <w:tcPr>
            <w:tcW w:w="875" w:type="pct"/>
            <w:tcBorders>
              <w:top w:val="single" w:sz="4" w:space="0" w:color="auto"/>
              <w:left w:val="nil"/>
              <w:right w:val="single" w:sz="4" w:space="0" w:color="auto"/>
            </w:tcBorders>
            <w:shd w:val="clear" w:color="auto" w:fill="auto"/>
            <w:tcMar>
              <w:top w:w="28" w:type="dxa"/>
              <w:bottom w:w="28" w:type="dxa"/>
            </w:tcMar>
            <w:vAlign w:val="center"/>
          </w:tcPr>
          <w:p w14:paraId="3A92DF2D" w14:textId="40EEDD2B" w:rsidR="007414B9" w:rsidRPr="0003174F" w:rsidRDefault="0067649E" w:rsidP="007414B9">
            <w:pPr>
              <w:pStyle w:val="ListParagraph"/>
              <w:ind w:left="0"/>
              <w:rPr>
                <w:rFonts w:ascii="Arial" w:hAnsi="Arial" w:cs="Arial"/>
                <w:snapToGrid w:val="0"/>
                <w:sz w:val="18"/>
                <w:szCs w:val="18"/>
                <w:highlight w:val="yellow"/>
                <w:lang w:eastAsia="en-US"/>
              </w:rPr>
            </w:pPr>
            <w:r w:rsidRPr="0067649E">
              <w:rPr>
                <w:rFonts w:ascii="Arial" w:hAnsi="Arial" w:cs="Arial"/>
                <w:snapToGrid w:val="0"/>
                <w:sz w:val="18"/>
                <w:szCs w:val="18"/>
                <w:lang w:eastAsia="en-US"/>
              </w:rPr>
              <w:t>To request a General Schedule, Authority Required (</w:t>
            </w:r>
            <w:r w:rsidR="00DF5D59">
              <w:rPr>
                <w:rFonts w:ascii="Arial" w:hAnsi="Arial" w:cs="Arial"/>
                <w:snapToGrid w:val="0"/>
                <w:sz w:val="18"/>
                <w:szCs w:val="18"/>
                <w:lang w:eastAsia="en-US"/>
              </w:rPr>
              <w:t>Telephone</w:t>
            </w:r>
            <w:r w:rsidRPr="0067649E">
              <w:rPr>
                <w:rFonts w:ascii="Arial" w:hAnsi="Arial" w:cs="Arial"/>
                <w:snapToGrid w:val="0"/>
                <w:sz w:val="18"/>
                <w:szCs w:val="18"/>
                <w:lang w:eastAsia="en-US"/>
              </w:rPr>
              <w:t>/</w:t>
            </w:r>
            <w:r w:rsidR="00DF5D59">
              <w:rPr>
                <w:rFonts w:ascii="Arial" w:hAnsi="Arial" w:cs="Arial"/>
                <w:snapToGrid w:val="0"/>
                <w:sz w:val="18"/>
                <w:szCs w:val="18"/>
                <w:lang w:eastAsia="en-US"/>
              </w:rPr>
              <w:t>Electronic</w:t>
            </w:r>
            <w:r w:rsidRPr="0067649E">
              <w:rPr>
                <w:rFonts w:ascii="Arial" w:hAnsi="Arial" w:cs="Arial"/>
                <w:snapToGrid w:val="0"/>
                <w:sz w:val="18"/>
                <w:szCs w:val="18"/>
                <w:lang w:eastAsia="en-US"/>
              </w:rPr>
              <w:t>) listing for the treatment of locally advanced (Stage IIIB) or metastatic (Stage IV) ALK-positive NSCLC in patients who have not received prior treatment with an ALK inhibitor.</w:t>
            </w:r>
          </w:p>
        </w:tc>
        <w:tc>
          <w:tcPr>
            <w:tcW w:w="553" w:type="pct"/>
            <w:tcBorders>
              <w:top w:val="single" w:sz="4" w:space="0" w:color="auto"/>
              <w:left w:val="single" w:sz="4" w:space="0" w:color="auto"/>
              <w:right w:val="single" w:sz="4" w:space="0" w:color="auto"/>
            </w:tcBorders>
            <w:shd w:val="clear" w:color="auto" w:fill="auto"/>
            <w:vAlign w:val="center"/>
          </w:tcPr>
          <w:p w14:paraId="2F8893FF" w14:textId="685CDB57" w:rsidR="007414B9" w:rsidRDefault="0067649E" w:rsidP="007414B9">
            <w:pPr>
              <w:pStyle w:val="ListParagraph"/>
              <w:ind w:left="0"/>
              <w:rPr>
                <w:rFonts w:ascii="Arial" w:hAnsi="Arial" w:cs="Arial"/>
                <w:snapToGrid w:val="0"/>
                <w:sz w:val="18"/>
                <w:szCs w:val="18"/>
                <w:lang w:eastAsia="en-US"/>
              </w:rPr>
            </w:pPr>
            <w:r>
              <w:rPr>
                <w:rFonts w:ascii="Arial" w:hAnsi="Arial" w:cs="Arial"/>
                <w:snapToGrid w:val="0"/>
                <w:sz w:val="18"/>
                <w:szCs w:val="18"/>
                <w:lang w:eastAsia="en-US"/>
              </w:rPr>
              <w:t>Recommended</w:t>
            </w:r>
          </w:p>
        </w:tc>
        <w:tc>
          <w:tcPr>
            <w:tcW w:w="2146" w:type="pct"/>
            <w:tcBorders>
              <w:top w:val="single" w:sz="4" w:space="0" w:color="auto"/>
            </w:tcBorders>
            <w:shd w:val="clear" w:color="auto" w:fill="auto"/>
            <w:vAlign w:val="center"/>
          </w:tcPr>
          <w:p w14:paraId="25A25E87" w14:textId="31E06E46" w:rsidR="007414B9" w:rsidRPr="003E3EC0" w:rsidRDefault="0067649E" w:rsidP="00C16C4B">
            <w:pPr>
              <w:spacing w:after="120"/>
              <w:rPr>
                <w:rFonts w:ascii="Arial" w:hAnsi="Arial" w:cs="Arial"/>
                <w:color w:val="000000"/>
                <w:sz w:val="18"/>
                <w:szCs w:val="18"/>
              </w:rPr>
            </w:pPr>
            <w:r w:rsidRPr="0067649E">
              <w:rPr>
                <w:rFonts w:ascii="Arial" w:hAnsi="Arial" w:cs="Arial"/>
                <w:color w:val="000000"/>
                <w:sz w:val="18"/>
                <w:szCs w:val="18"/>
              </w:rPr>
              <w:t xml:space="preserve">The PBAC recommended the line-agnostic listing of </w:t>
            </w:r>
            <w:proofErr w:type="spellStart"/>
            <w:r w:rsidRPr="0067649E">
              <w:rPr>
                <w:rFonts w:ascii="Arial" w:hAnsi="Arial" w:cs="Arial"/>
                <w:color w:val="000000"/>
                <w:sz w:val="18"/>
                <w:szCs w:val="18"/>
              </w:rPr>
              <w:t>lorlatinib</w:t>
            </w:r>
            <w:proofErr w:type="spellEnd"/>
            <w:r w:rsidRPr="0067649E">
              <w:rPr>
                <w:rFonts w:ascii="Arial" w:hAnsi="Arial" w:cs="Arial"/>
                <w:color w:val="000000"/>
                <w:sz w:val="18"/>
                <w:szCs w:val="18"/>
              </w:rPr>
              <w:t xml:space="preserve"> for Stage IIIB (locally advanced) or Stage IV (metastatic) non-squamous or not otherwise specified type NSCLC with evidence of an ALK gene rearrangement in tumour material. The PBAC’s recommendation for listing was based on, among other matters, its assessment that the cost-effectiveness of </w:t>
            </w:r>
            <w:proofErr w:type="spellStart"/>
            <w:r w:rsidRPr="0067649E">
              <w:rPr>
                <w:rFonts w:ascii="Arial" w:hAnsi="Arial" w:cs="Arial"/>
                <w:color w:val="000000"/>
                <w:sz w:val="18"/>
                <w:szCs w:val="18"/>
              </w:rPr>
              <w:t>lorlatinib</w:t>
            </w:r>
            <w:proofErr w:type="spellEnd"/>
            <w:r w:rsidRPr="0067649E">
              <w:rPr>
                <w:rFonts w:ascii="Arial" w:hAnsi="Arial" w:cs="Arial"/>
                <w:color w:val="000000"/>
                <w:sz w:val="18"/>
                <w:szCs w:val="18"/>
              </w:rPr>
              <w:t xml:space="preserve"> would be acceptable if it were cost-minimised against the least costly alternative therapy.</w:t>
            </w:r>
          </w:p>
        </w:tc>
      </w:tr>
    </w:tbl>
    <w:p w14:paraId="4081BEC2" w14:textId="635180E2" w:rsidR="00AC2F56" w:rsidRPr="001D4E5E" w:rsidRDefault="00AC2F56">
      <w:pPr>
        <w:rPr>
          <w:rFonts w:asciiTheme="minorHAnsi" w:hAnsiTheme="minorHAnsi" w:cstheme="minorHAnsi"/>
          <w:sz w:val="18"/>
          <w:szCs w:val="18"/>
          <w:lang w:val="en-US"/>
        </w:rPr>
      </w:pPr>
    </w:p>
    <w:p w14:paraId="50C821D7" w14:textId="55F695CA"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3DCF312E" w14:textId="51DED862" w:rsidR="00ED6AE3" w:rsidRDefault="00ED6AE3">
      <w:pPr>
        <w:rPr>
          <w:rFonts w:ascii="Arial" w:hAnsi="Arial" w:cs="Arial"/>
          <w:i/>
          <w:iCs/>
          <w:sz w:val="18"/>
          <w:szCs w:val="18"/>
        </w:rPr>
      </w:pPr>
      <w:r>
        <w:rPr>
          <w:rFonts w:ascii="Arial" w:hAnsi="Arial" w:cs="Arial"/>
          <w:i/>
          <w:iCs/>
          <w:sz w:val="18"/>
          <w:szCs w:val="18"/>
        </w:rPr>
        <w:lastRenderedPageBreak/>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5003" w:type="pct"/>
        <w:tblLayout w:type="fixed"/>
        <w:tblLook w:val="04A0" w:firstRow="1" w:lastRow="0" w:firstColumn="1" w:lastColumn="0" w:noHBand="0" w:noVBand="1"/>
      </w:tblPr>
      <w:tblGrid>
        <w:gridCol w:w="2688"/>
        <w:gridCol w:w="1700"/>
        <w:gridCol w:w="2691"/>
        <w:gridCol w:w="1703"/>
        <w:gridCol w:w="6615"/>
      </w:tblGrid>
      <w:tr w:rsidR="003835EB" w:rsidRPr="00A159CA" w14:paraId="6ADE83BF" w14:textId="77777777" w:rsidTr="00EF74BA">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3835EB" w:rsidRPr="00A159CA" w:rsidRDefault="003835EB" w:rsidP="00442D9F">
            <w:pPr>
              <w:keepLines/>
              <w:widowControl w:val="0"/>
              <w:spacing w:after="120"/>
              <w:jc w:val="center"/>
              <w:rPr>
                <w:rFonts w:ascii="Arial" w:hAnsi="Arial" w:cs="Arial"/>
                <w:b/>
                <w:sz w:val="18"/>
                <w:szCs w:val="18"/>
              </w:rPr>
            </w:pPr>
            <w:bookmarkStart w:id="0" w:name="_Hlk84500855"/>
            <w:r w:rsidRPr="00A159CA">
              <w:rPr>
                <w:rFonts w:ascii="Arial" w:hAnsi="Arial" w:cs="Arial"/>
                <w:b/>
                <w:sz w:val="18"/>
                <w:szCs w:val="18"/>
              </w:rPr>
              <w:t>DRUG NAME, FORM(S), STRENGTH(S), SPONSOR, TYPE OF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DRUG TYPE AND USE</w:t>
            </w:r>
          </w:p>
          <w:p w14:paraId="6328A465" w14:textId="77777777" w:rsidR="003835EB" w:rsidRPr="00A159CA" w:rsidRDefault="003835EB" w:rsidP="00442D9F">
            <w:pPr>
              <w:keepLines/>
              <w:widowControl w:val="0"/>
              <w:spacing w:after="120"/>
              <w:jc w:val="center"/>
              <w:rPr>
                <w:rFonts w:ascii="Arial" w:hAnsi="Arial" w:cs="Arial"/>
                <w:b/>
                <w:sz w:val="18"/>
                <w:szCs w:val="18"/>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3835EB" w:rsidRPr="00A159CA" w:rsidRDefault="003835EB" w:rsidP="00442D9F">
            <w:pPr>
              <w:keepLines/>
              <w:widowControl w:val="0"/>
              <w:spacing w:after="120"/>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tcPr>
          <w:p w14:paraId="54E1355E" w14:textId="77777777" w:rsidR="003835EB" w:rsidRPr="00A159CA" w:rsidRDefault="003835EB" w:rsidP="00442D9F">
            <w:pPr>
              <w:keepLines/>
              <w:spacing w:after="120"/>
              <w:jc w:val="center"/>
              <w:rPr>
                <w:rFonts w:ascii="Arial" w:hAnsi="Arial" w:cs="Arial"/>
                <w:b/>
                <w:sz w:val="18"/>
                <w:szCs w:val="18"/>
              </w:rPr>
            </w:pPr>
            <w:r w:rsidRPr="00A159CA">
              <w:rPr>
                <w:rFonts w:ascii="Arial" w:hAnsi="Arial" w:cs="Arial"/>
                <w:b/>
                <w:sz w:val="18"/>
                <w:szCs w:val="18"/>
              </w:rPr>
              <w:t>PBAC OUTCOME</w:t>
            </w:r>
          </w:p>
          <w:p w14:paraId="5EC94810" w14:textId="77777777" w:rsidR="003835EB" w:rsidRPr="00A159CA" w:rsidRDefault="003835EB" w:rsidP="00442D9F">
            <w:pPr>
              <w:keepLines/>
              <w:spacing w:after="120"/>
              <w:jc w:val="center"/>
              <w:rPr>
                <w:rFonts w:ascii="Arial" w:hAnsi="Arial" w:cs="Arial"/>
                <w:b/>
                <w:sz w:val="18"/>
                <w:szCs w:val="18"/>
              </w:rPr>
            </w:pPr>
          </w:p>
        </w:tc>
      </w:tr>
      <w:tr w:rsidR="00EF74BA" w:rsidRPr="00D2401D" w14:paraId="44EDF77D"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BC0103D" w14:textId="43340AAB" w:rsidR="00EF74BA" w:rsidRDefault="00EF74BA" w:rsidP="0087764A">
            <w:pPr>
              <w:rPr>
                <w:rFonts w:ascii="Arial" w:hAnsi="Arial" w:cs="Arial"/>
                <w:sz w:val="18"/>
                <w:szCs w:val="18"/>
              </w:rPr>
            </w:pPr>
            <w:r>
              <w:rPr>
                <w:rFonts w:ascii="Arial" w:hAnsi="Arial" w:cs="Arial"/>
                <w:sz w:val="18"/>
                <w:szCs w:val="18"/>
              </w:rPr>
              <w:t>CLOPIDOGREL</w:t>
            </w:r>
          </w:p>
          <w:p w14:paraId="16E0CA39" w14:textId="77777777" w:rsidR="00EF74BA" w:rsidRDefault="00EF74BA" w:rsidP="0087764A">
            <w:pPr>
              <w:rPr>
                <w:rFonts w:ascii="Arial" w:hAnsi="Arial" w:cs="Arial"/>
                <w:sz w:val="18"/>
                <w:szCs w:val="18"/>
              </w:rPr>
            </w:pPr>
          </w:p>
          <w:p w14:paraId="09B871AA" w14:textId="0D4AACD2" w:rsidR="00EF74BA" w:rsidRDefault="00EF74BA" w:rsidP="0087764A">
            <w:pPr>
              <w:rPr>
                <w:rFonts w:ascii="Arial" w:hAnsi="Arial" w:cs="Arial"/>
                <w:sz w:val="18"/>
                <w:szCs w:val="18"/>
              </w:rPr>
            </w:pPr>
            <w:r>
              <w:rPr>
                <w:rFonts w:ascii="Arial" w:hAnsi="Arial" w:cs="Arial"/>
                <w:sz w:val="18"/>
                <w:szCs w:val="18"/>
              </w:rPr>
              <w:t xml:space="preserve">Tablet 75 mg (as </w:t>
            </w:r>
            <w:proofErr w:type="spellStart"/>
            <w:r>
              <w:rPr>
                <w:rFonts w:ascii="Arial" w:hAnsi="Arial" w:cs="Arial"/>
                <w:sz w:val="18"/>
                <w:szCs w:val="18"/>
              </w:rPr>
              <w:t>besilate</w:t>
            </w:r>
            <w:proofErr w:type="spellEnd"/>
            <w:r>
              <w:rPr>
                <w:rFonts w:ascii="Arial" w:hAnsi="Arial" w:cs="Arial"/>
                <w:sz w:val="18"/>
                <w:szCs w:val="18"/>
              </w:rPr>
              <w:t>)</w:t>
            </w:r>
          </w:p>
          <w:p w14:paraId="04D4B3C2" w14:textId="3095E9C5" w:rsidR="00EF74BA" w:rsidRDefault="00EF74BA" w:rsidP="0087764A">
            <w:pPr>
              <w:rPr>
                <w:rFonts w:ascii="Arial" w:hAnsi="Arial" w:cs="Arial"/>
                <w:sz w:val="18"/>
                <w:szCs w:val="18"/>
              </w:rPr>
            </w:pPr>
            <w:r>
              <w:rPr>
                <w:rFonts w:ascii="Arial" w:hAnsi="Arial" w:cs="Arial"/>
                <w:sz w:val="18"/>
                <w:szCs w:val="18"/>
              </w:rPr>
              <w:t xml:space="preserve">Tablet 75 mg (as hydrogen </w:t>
            </w:r>
            <w:proofErr w:type="spellStart"/>
            <w:r>
              <w:rPr>
                <w:rFonts w:ascii="Arial" w:hAnsi="Arial" w:cs="Arial"/>
                <w:sz w:val="18"/>
                <w:szCs w:val="18"/>
              </w:rPr>
              <w:t>sulfate</w:t>
            </w:r>
            <w:proofErr w:type="spellEnd"/>
            <w:r>
              <w:rPr>
                <w:rFonts w:ascii="Arial" w:hAnsi="Arial" w:cs="Arial"/>
                <w:sz w:val="18"/>
                <w:szCs w:val="18"/>
              </w:rPr>
              <w:t>)</w:t>
            </w:r>
          </w:p>
          <w:p w14:paraId="719539A8" w14:textId="04D1E409" w:rsidR="00EF74BA" w:rsidRDefault="00EF74BA" w:rsidP="0087764A">
            <w:pPr>
              <w:rPr>
                <w:rFonts w:ascii="Arial" w:hAnsi="Arial" w:cs="Arial"/>
                <w:sz w:val="18"/>
                <w:szCs w:val="18"/>
              </w:rPr>
            </w:pPr>
          </w:p>
          <w:p w14:paraId="5A46F76D" w14:textId="77777777" w:rsidR="0016039F" w:rsidRDefault="0016039F" w:rsidP="0087764A">
            <w:pPr>
              <w:rPr>
                <w:rFonts w:ascii="Arial" w:hAnsi="Arial" w:cs="Arial"/>
                <w:sz w:val="18"/>
                <w:szCs w:val="18"/>
              </w:rPr>
            </w:pPr>
          </w:p>
          <w:p w14:paraId="0325E672" w14:textId="1CBEAEDC" w:rsidR="00EF74BA" w:rsidRDefault="00EF74BA" w:rsidP="0087764A">
            <w:pPr>
              <w:rPr>
                <w:rFonts w:ascii="Arial" w:hAnsi="Arial" w:cs="Arial"/>
                <w:sz w:val="18"/>
                <w:szCs w:val="18"/>
              </w:rPr>
            </w:pPr>
            <w:r>
              <w:rPr>
                <w:rFonts w:ascii="Arial" w:hAnsi="Arial" w:cs="Arial"/>
                <w:sz w:val="18"/>
                <w:szCs w:val="18"/>
              </w:rPr>
              <w:t>CLOPIDOGREL + ASPIRIN</w:t>
            </w:r>
          </w:p>
          <w:p w14:paraId="438313AC" w14:textId="16968A66" w:rsidR="00EF74BA" w:rsidRDefault="00EF74BA" w:rsidP="0087764A">
            <w:pPr>
              <w:rPr>
                <w:rFonts w:ascii="Arial" w:hAnsi="Arial" w:cs="Arial"/>
                <w:sz w:val="18"/>
                <w:szCs w:val="18"/>
              </w:rPr>
            </w:pPr>
          </w:p>
          <w:p w14:paraId="28482786" w14:textId="6663C36D" w:rsidR="00EF74BA" w:rsidRDefault="00EF74BA" w:rsidP="0087764A">
            <w:pPr>
              <w:rPr>
                <w:rFonts w:ascii="Arial" w:hAnsi="Arial" w:cs="Arial"/>
                <w:sz w:val="18"/>
                <w:szCs w:val="18"/>
              </w:rPr>
            </w:pPr>
            <w:r>
              <w:rPr>
                <w:rFonts w:ascii="Arial" w:hAnsi="Arial" w:cs="Arial"/>
                <w:sz w:val="18"/>
                <w:szCs w:val="18"/>
              </w:rPr>
              <w:t xml:space="preserve">Tablet 75 mg (as hydrogen </w:t>
            </w:r>
            <w:proofErr w:type="spellStart"/>
            <w:r>
              <w:rPr>
                <w:rFonts w:ascii="Arial" w:hAnsi="Arial" w:cs="Arial"/>
                <w:sz w:val="18"/>
                <w:szCs w:val="18"/>
              </w:rPr>
              <w:t>sulfate</w:t>
            </w:r>
            <w:proofErr w:type="spellEnd"/>
            <w:r>
              <w:rPr>
                <w:rFonts w:ascii="Arial" w:hAnsi="Arial" w:cs="Arial"/>
                <w:sz w:val="18"/>
                <w:szCs w:val="18"/>
              </w:rPr>
              <w:t>)-100 mg</w:t>
            </w:r>
          </w:p>
          <w:p w14:paraId="41F6ABE4" w14:textId="2F2D1642" w:rsidR="00EF74BA" w:rsidRDefault="00EF74BA" w:rsidP="0087764A">
            <w:pPr>
              <w:rPr>
                <w:rFonts w:ascii="Arial" w:hAnsi="Arial" w:cs="Arial"/>
                <w:sz w:val="18"/>
                <w:szCs w:val="18"/>
              </w:rPr>
            </w:pPr>
          </w:p>
          <w:p w14:paraId="440ECE84" w14:textId="582897B1" w:rsidR="00EF74BA" w:rsidRPr="00D2401D" w:rsidRDefault="00EF74BA" w:rsidP="0087764A">
            <w:pPr>
              <w:rPr>
                <w:rFonts w:ascii="Arial" w:hAnsi="Arial" w:cs="Arial"/>
                <w:sz w:val="18"/>
                <w:szCs w:val="18"/>
              </w:rPr>
            </w:pPr>
            <w:r>
              <w:rPr>
                <w:rFonts w:ascii="Arial" w:hAnsi="Arial" w:cs="Arial"/>
                <w:sz w:val="18"/>
                <w:szCs w:val="18"/>
              </w:rPr>
              <w:t>Multiple brands and sponsors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156AD5" w14:textId="19073BF2" w:rsidR="00EF74BA" w:rsidRDefault="00EF74BA" w:rsidP="00952ADE">
            <w:pPr>
              <w:keepLines/>
              <w:widowControl w:val="0"/>
              <w:spacing w:after="120"/>
              <w:jc w:val="center"/>
              <w:rPr>
                <w:rFonts w:ascii="Arial" w:hAnsi="Arial" w:cs="Arial"/>
                <w:sz w:val="18"/>
                <w:szCs w:val="18"/>
              </w:rPr>
            </w:pPr>
            <w:r>
              <w:rPr>
                <w:rFonts w:ascii="Arial" w:hAnsi="Arial" w:cs="Arial"/>
                <w:sz w:val="18"/>
                <w:szCs w:val="18"/>
              </w:rPr>
              <w:t>Antithrombotic</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BB02ECA" w14:textId="1DD6E028" w:rsidR="00EF74BA" w:rsidRPr="006A1809" w:rsidRDefault="00EF74BA" w:rsidP="006A1809">
            <w:pPr>
              <w:keepLines/>
              <w:widowControl w:val="0"/>
              <w:spacing w:after="120"/>
              <w:rPr>
                <w:rFonts w:ascii="Arial" w:hAnsi="Arial" w:cs="Arial"/>
                <w:snapToGrid w:val="0"/>
                <w:sz w:val="18"/>
                <w:szCs w:val="18"/>
                <w:lang w:eastAsia="en-US"/>
              </w:rPr>
            </w:pPr>
            <w:r w:rsidRPr="00741F62">
              <w:rPr>
                <w:rFonts w:ascii="Arial" w:hAnsi="Arial" w:cs="Arial"/>
                <w:snapToGrid w:val="0"/>
                <w:sz w:val="18"/>
                <w:szCs w:val="18"/>
                <w:lang w:eastAsia="en-US"/>
              </w:rPr>
              <w:t>To consider an unrestricted listing for clopidogrel and clopidogrel with aspirin.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197F177" w14:textId="433335E8" w:rsidR="00EF74BA" w:rsidRDefault="002C77D1" w:rsidP="00952ADE">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w:t>
            </w:r>
            <w:r w:rsidR="00EF74BA">
              <w:rPr>
                <w:rFonts w:ascii="Arial" w:hAnsi="Arial" w:cs="Arial"/>
                <w:color w:val="000000"/>
                <w:sz w:val="18"/>
                <w:szCs w:val="21"/>
                <w:shd w:val="clear" w:color="auto" w:fill="FFFFFF"/>
              </w:rPr>
              <w:t>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0FFEB2E" w14:textId="5618FF8A" w:rsidR="00EF74BA" w:rsidRPr="001C4557" w:rsidRDefault="00EF74BA" w:rsidP="00952ADE">
            <w:pPr>
              <w:keepLines/>
              <w:spacing w:after="120"/>
              <w:rPr>
                <w:rFonts w:ascii="Arial" w:hAnsi="Arial" w:cs="Arial"/>
                <w:color w:val="000000"/>
                <w:sz w:val="18"/>
                <w:szCs w:val="21"/>
                <w:shd w:val="clear" w:color="auto" w:fill="FFFFFF"/>
              </w:rPr>
            </w:pPr>
            <w:r w:rsidRPr="00741F62">
              <w:rPr>
                <w:rFonts w:ascii="Arial" w:hAnsi="Arial" w:cs="Arial"/>
                <w:color w:val="000000"/>
                <w:sz w:val="18"/>
                <w:szCs w:val="21"/>
                <w:shd w:val="clear" w:color="auto" w:fill="FFFFFF"/>
              </w:rPr>
              <w:t>The PBAC recommended that the listing of clopidogrel and clopidogrel with aspirin be changed from Authority Required (</w:t>
            </w:r>
            <w:r w:rsidR="00E074F2">
              <w:rPr>
                <w:rFonts w:ascii="Arial" w:hAnsi="Arial" w:cs="Arial"/>
                <w:color w:val="000000"/>
                <w:sz w:val="18"/>
                <w:szCs w:val="21"/>
                <w:shd w:val="clear" w:color="auto" w:fill="FFFFFF"/>
              </w:rPr>
              <w:t>STREAMLINED</w:t>
            </w:r>
            <w:r w:rsidRPr="00741F62">
              <w:rPr>
                <w:rFonts w:ascii="Arial" w:hAnsi="Arial" w:cs="Arial"/>
                <w:color w:val="000000"/>
                <w:sz w:val="18"/>
                <w:szCs w:val="21"/>
                <w:shd w:val="clear" w:color="auto" w:fill="FFFFFF"/>
              </w:rPr>
              <w:t>) listings to unrestricted listings. The PBAC noted clinician feedback received regarding the barriers that the current Authority Required (S</w:t>
            </w:r>
            <w:r w:rsidR="00E074F2">
              <w:rPr>
                <w:rFonts w:ascii="Arial" w:hAnsi="Arial" w:cs="Arial"/>
                <w:color w:val="000000"/>
                <w:sz w:val="18"/>
                <w:szCs w:val="21"/>
                <w:shd w:val="clear" w:color="auto" w:fill="FFFFFF"/>
              </w:rPr>
              <w:t>TREAMLINED</w:t>
            </w:r>
            <w:r w:rsidRPr="00741F62">
              <w:rPr>
                <w:rFonts w:ascii="Arial" w:hAnsi="Arial" w:cs="Arial"/>
                <w:color w:val="000000"/>
                <w:sz w:val="18"/>
                <w:szCs w:val="21"/>
                <w:shd w:val="clear" w:color="auto" w:fill="FFFFFF"/>
              </w:rPr>
              <w:t>) listings present in certain circumstances and how the place in therapy of clopidogrel has evolved over time. The PBAC considered that unrestricted listings would reduce the burden for prescribers and enable better access for patients in need of anti-platelet therapy.</w:t>
            </w:r>
          </w:p>
        </w:tc>
      </w:tr>
      <w:bookmarkEnd w:id="0"/>
      <w:tr w:rsidR="00EF74BA" w:rsidRPr="00D2401D" w14:paraId="17B74272"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9250825" w14:textId="2C8053C9" w:rsidR="00EF74BA" w:rsidRDefault="00EF74BA" w:rsidP="006A1809">
            <w:pPr>
              <w:rPr>
                <w:rFonts w:ascii="Arial" w:hAnsi="Arial" w:cs="Arial"/>
                <w:sz w:val="18"/>
                <w:szCs w:val="18"/>
              </w:rPr>
            </w:pPr>
            <w:r>
              <w:rPr>
                <w:rFonts w:ascii="Arial" w:hAnsi="Arial" w:cs="Arial"/>
                <w:sz w:val="18"/>
                <w:szCs w:val="18"/>
              </w:rPr>
              <w:t>HYDROXYCHLOROQUINE</w:t>
            </w:r>
          </w:p>
          <w:p w14:paraId="521B0961" w14:textId="7243B364" w:rsidR="00EF74BA" w:rsidRDefault="00EF74BA" w:rsidP="006A1809">
            <w:pPr>
              <w:rPr>
                <w:rFonts w:ascii="Arial" w:hAnsi="Arial" w:cs="Arial"/>
                <w:sz w:val="18"/>
                <w:szCs w:val="18"/>
              </w:rPr>
            </w:pPr>
          </w:p>
          <w:p w14:paraId="2A45E569" w14:textId="6758D274" w:rsidR="00EF74BA" w:rsidRDefault="00EF74BA" w:rsidP="006A1809">
            <w:pPr>
              <w:rPr>
                <w:rFonts w:ascii="Arial" w:hAnsi="Arial" w:cs="Arial"/>
                <w:sz w:val="18"/>
                <w:szCs w:val="18"/>
              </w:rPr>
            </w:pPr>
            <w:r>
              <w:rPr>
                <w:rFonts w:ascii="Arial" w:hAnsi="Arial" w:cs="Arial"/>
                <w:sz w:val="18"/>
                <w:szCs w:val="18"/>
              </w:rPr>
              <w:t xml:space="preserve">Tablet containing hydroxychloroquine </w:t>
            </w:r>
            <w:proofErr w:type="spellStart"/>
            <w:r>
              <w:rPr>
                <w:rFonts w:ascii="Arial" w:hAnsi="Arial" w:cs="Arial"/>
                <w:sz w:val="18"/>
                <w:szCs w:val="18"/>
              </w:rPr>
              <w:t>sulfate</w:t>
            </w:r>
            <w:proofErr w:type="spellEnd"/>
            <w:r>
              <w:rPr>
                <w:rFonts w:ascii="Arial" w:hAnsi="Arial" w:cs="Arial"/>
                <w:sz w:val="18"/>
                <w:szCs w:val="18"/>
              </w:rPr>
              <w:t xml:space="preserve"> 200 mg</w:t>
            </w:r>
          </w:p>
          <w:p w14:paraId="6650884A" w14:textId="3A896430" w:rsidR="00EF74BA" w:rsidRDefault="00EF74BA" w:rsidP="006A1809">
            <w:pPr>
              <w:rPr>
                <w:rFonts w:ascii="Arial" w:hAnsi="Arial" w:cs="Arial"/>
                <w:sz w:val="18"/>
                <w:szCs w:val="18"/>
              </w:rPr>
            </w:pPr>
          </w:p>
          <w:p w14:paraId="50550D79" w14:textId="285055BE" w:rsidR="00EF74BA" w:rsidRDefault="00EF74BA" w:rsidP="00952ADE">
            <w:pPr>
              <w:rPr>
                <w:rFonts w:ascii="Arial" w:hAnsi="Arial" w:cs="Arial"/>
                <w:sz w:val="18"/>
                <w:szCs w:val="18"/>
              </w:rPr>
            </w:pPr>
            <w:r>
              <w:rPr>
                <w:rFonts w:ascii="Arial" w:hAnsi="Arial" w:cs="Arial"/>
                <w:sz w:val="18"/>
                <w:szCs w:val="18"/>
              </w:rPr>
              <w:t>Multiple brands and sponsors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69F2CC06" w14:textId="337F179C" w:rsidR="00EF74BA" w:rsidRPr="006A1809" w:rsidRDefault="00EF74BA" w:rsidP="00283D2B">
            <w:pPr>
              <w:keepLines/>
              <w:widowControl w:val="0"/>
              <w:spacing w:after="120"/>
              <w:jc w:val="center"/>
              <w:rPr>
                <w:rFonts w:ascii="Arial" w:hAnsi="Arial" w:cs="Arial"/>
                <w:snapToGrid w:val="0"/>
                <w:sz w:val="18"/>
                <w:szCs w:val="18"/>
                <w:lang w:eastAsia="en-US"/>
              </w:rPr>
            </w:pPr>
            <w:r>
              <w:rPr>
                <w:rFonts w:ascii="Arial" w:hAnsi="Arial" w:cs="Arial"/>
                <w:snapToGrid w:val="0"/>
                <w:sz w:val="18"/>
                <w:szCs w:val="18"/>
                <w:lang w:eastAsia="en-US"/>
              </w:rPr>
              <w:t>Antirheumatic</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89DFB1" w14:textId="18103132" w:rsidR="00EF74BA" w:rsidRPr="006A1809" w:rsidRDefault="00EF74BA"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T</w:t>
            </w:r>
            <w:r w:rsidRPr="00283D2B">
              <w:rPr>
                <w:rFonts w:ascii="Arial" w:hAnsi="Arial" w:cs="Arial"/>
                <w:snapToGrid w:val="0"/>
                <w:sz w:val="18"/>
                <w:szCs w:val="18"/>
                <w:lang w:eastAsia="en-US"/>
              </w:rPr>
              <w:t xml:space="preserve">o consider reverting </w:t>
            </w:r>
            <w:r w:rsidR="00E074F2">
              <w:rPr>
                <w:rFonts w:ascii="Arial" w:hAnsi="Arial" w:cs="Arial"/>
                <w:snapToGrid w:val="0"/>
                <w:sz w:val="18"/>
                <w:szCs w:val="18"/>
                <w:lang w:eastAsia="en-US"/>
              </w:rPr>
              <w:t xml:space="preserve">the listing </w:t>
            </w:r>
            <w:r w:rsidRPr="00283D2B">
              <w:rPr>
                <w:rFonts w:ascii="Arial" w:hAnsi="Arial" w:cs="Arial"/>
                <w:snapToGrid w:val="0"/>
                <w:sz w:val="18"/>
                <w:szCs w:val="18"/>
                <w:lang w:eastAsia="en-US"/>
              </w:rPr>
              <w:t>of hydroxychloroquine to an unrestricted listing.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9A2F22" w14:textId="57A6C693" w:rsidR="00EF74BA" w:rsidRPr="006A1809" w:rsidRDefault="00EF74BA"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E575727" w14:textId="767B3B8C" w:rsidR="00EF74BA" w:rsidRPr="006A1809" w:rsidRDefault="00EF74BA" w:rsidP="0032768B">
            <w:pPr>
              <w:keepLines/>
              <w:spacing w:after="120"/>
              <w:rPr>
                <w:rFonts w:ascii="Arial" w:hAnsi="Arial" w:cs="Arial"/>
                <w:color w:val="000000"/>
                <w:sz w:val="18"/>
                <w:szCs w:val="21"/>
                <w:shd w:val="clear" w:color="auto" w:fill="FFFFFF"/>
              </w:rPr>
            </w:pPr>
            <w:r w:rsidRPr="00283D2B">
              <w:rPr>
                <w:rFonts w:ascii="Arial" w:hAnsi="Arial" w:cs="Arial"/>
                <w:color w:val="000000"/>
                <w:sz w:val="18"/>
                <w:szCs w:val="21"/>
                <w:shd w:val="clear" w:color="auto" w:fill="FFFFFF"/>
              </w:rPr>
              <w:t>The Committee recommended that hydroxychloroquine should be listed as an unrestricted benefit. The Committee noted the number of PBS prescriptions issued for this drug had reduced back to pre-COVID levels and remained stable since the implementation of the new listings.</w:t>
            </w:r>
          </w:p>
        </w:tc>
      </w:tr>
      <w:tr w:rsidR="00EF74BA" w:rsidRPr="00D2401D" w14:paraId="7BE80AB5"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A582050" w14:textId="0C7372B8" w:rsidR="00EF74BA" w:rsidRDefault="00EF74BA" w:rsidP="006A1809">
            <w:pPr>
              <w:rPr>
                <w:rFonts w:ascii="Arial" w:hAnsi="Arial" w:cs="Arial"/>
                <w:sz w:val="18"/>
                <w:szCs w:val="18"/>
              </w:rPr>
            </w:pPr>
            <w:r>
              <w:rPr>
                <w:rFonts w:ascii="Arial" w:hAnsi="Arial" w:cs="Arial"/>
                <w:sz w:val="18"/>
                <w:szCs w:val="18"/>
              </w:rPr>
              <w:lastRenderedPageBreak/>
              <w:t>IBRUTINIB</w:t>
            </w:r>
          </w:p>
          <w:p w14:paraId="4404B006" w14:textId="02E1A2FA" w:rsidR="00EF74BA" w:rsidRDefault="00EF74BA" w:rsidP="006A1809">
            <w:pPr>
              <w:rPr>
                <w:rFonts w:ascii="Arial" w:hAnsi="Arial" w:cs="Arial"/>
                <w:sz w:val="18"/>
                <w:szCs w:val="18"/>
              </w:rPr>
            </w:pPr>
          </w:p>
          <w:p w14:paraId="2535FBFB" w14:textId="67E6F566" w:rsidR="00EF74BA" w:rsidRDefault="00EF74BA" w:rsidP="006A1809">
            <w:pPr>
              <w:rPr>
                <w:rFonts w:ascii="Arial" w:hAnsi="Arial" w:cs="Arial"/>
                <w:sz w:val="18"/>
                <w:szCs w:val="18"/>
              </w:rPr>
            </w:pPr>
            <w:r>
              <w:rPr>
                <w:rFonts w:ascii="Arial" w:hAnsi="Arial" w:cs="Arial"/>
                <w:sz w:val="18"/>
                <w:szCs w:val="18"/>
              </w:rPr>
              <w:t>Capsule 140 mg</w:t>
            </w:r>
          </w:p>
          <w:p w14:paraId="22613308" w14:textId="05EF7FBE" w:rsidR="00EF74BA" w:rsidRDefault="00EF74BA" w:rsidP="006A1809">
            <w:pPr>
              <w:rPr>
                <w:rFonts w:ascii="Arial" w:hAnsi="Arial" w:cs="Arial"/>
                <w:sz w:val="18"/>
                <w:szCs w:val="18"/>
              </w:rPr>
            </w:pPr>
          </w:p>
          <w:p w14:paraId="50045A97" w14:textId="1E0DFB62" w:rsidR="00EF74BA" w:rsidRDefault="00EF74BA" w:rsidP="006A1809">
            <w:pPr>
              <w:rPr>
                <w:rFonts w:ascii="Arial" w:hAnsi="Arial" w:cs="Arial"/>
                <w:sz w:val="18"/>
                <w:szCs w:val="18"/>
              </w:rPr>
            </w:pPr>
            <w:r>
              <w:rPr>
                <w:rFonts w:ascii="Arial" w:hAnsi="Arial" w:cs="Arial"/>
                <w:sz w:val="18"/>
                <w:szCs w:val="18"/>
              </w:rPr>
              <w:t>Imbruvica®</w:t>
            </w:r>
          </w:p>
          <w:p w14:paraId="1971A1BD" w14:textId="37569FE9" w:rsidR="00EF74BA" w:rsidRDefault="00EF74BA" w:rsidP="006A1809">
            <w:pPr>
              <w:rPr>
                <w:rFonts w:ascii="Arial" w:hAnsi="Arial" w:cs="Arial"/>
                <w:sz w:val="18"/>
                <w:szCs w:val="18"/>
              </w:rPr>
            </w:pPr>
          </w:p>
          <w:p w14:paraId="114175BB" w14:textId="0509E8AD" w:rsidR="00EF74BA" w:rsidRDefault="00EF74BA" w:rsidP="006A1809">
            <w:pPr>
              <w:rPr>
                <w:rFonts w:ascii="Arial" w:hAnsi="Arial" w:cs="Arial"/>
                <w:sz w:val="18"/>
                <w:szCs w:val="18"/>
              </w:rPr>
            </w:pPr>
            <w:r>
              <w:rPr>
                <w:rFonts w:ascii="Arial" w:hAnsi="Arial" w:cs="Arial"/>
                <w:sz w:val="18"/>
                <w:szCs w:val="18"/>
              </w:rPr>
              <w:t>Janssen-</w:t>
            </w:r>
            <w:proofErr w:type="spellStart"/>
            <w:r>
              <w:rPr>
                <w:rFonts w:ascii="Arial" w:hAnsi="Arial" w:cs="Arial"/>
                <w:sz w:val="18"/>
                <w:szCs w:val="18"/>
              </w:rPr>
              <w:t>Cilag</w:t>
            </w:r>
            <w:proofErr w:type="spellEnd"/>
            <w:r>
              <w:rPr>
                <w:rFonts w:ascii="Arial" w:hAnsi="Arial" w:cs="Arial"/>
                <w:sz w:val="18"/>
                <w:szCs w:val="18"/>
              </w:rPr>
              <w:t xml:space="preserve"> Pty Ltd</w:t>
            </w:r>
          </w:p>
          <w:p w14:paraId="656C3DA8" w14:textId="77777777" w:rsidR="00EF74BA" w:rsidRDefault="00EF74BA" w:rsidP="006A1809">
            <w:pPr>
              <w:rPr>
                <w:rFonts w:ascii="Arial" w:hAnsi="Arial" w:cs="Arial"/>
                <w:sz w:val="18"/>
                <w:szCs w:val="18"/>
              </w:rPr>
            </w:pPr>
          </w:p>
          <w:p w14:paraId="59DB6FD0" w14:textId="77777777" w:rsidR="0016039F" w:rsidRDefault="0016039F" w:rsidP="006A1809">
            <w:pPr>
              <w:rPr>
                <w:rFonts w:ascii="Arial" w:hAnsi="Arial" w:cs="Arial"/>
                <w:sz w:val="18"/>
                <w:szCs w:val="18"/>
              </w:rPr>
            </w:pPr>
          </w:p>
          <w:p w14:paraId="25F0F8F3" w14:textId="6F8EF1B4" w:rsidR="00EF74BA" w:rsidRDefault="00EF74BA" w:rsidP="006A1809">
            <w:pPr>
              <w:rPr>
                <w:rFonts w:ascii="Arial" w:hAnsi="Arial" w:cs="Arial"/>
                <w:sz w:val="18"/>
                <w:szCs w:val="18"/>
              </w:rPr>
            </w:pPr>
            <w:r>
              <w:rPr>
                <w:rFonts w:ascii="Arial" w:hAnsi="Arial" w:cs="Arial"/>
                <w:sz w:val="18"/>
                <w:szCs w:val="18"/>
              </w:rPr>
              <w:t>VENETOCLAX</w:t>
            </w:r>
          </w:p>
          <w:p w14:paraId="13BC49A0" w14:textId="39613BD1" w:rsidR="00EF74BA" w:rsidRDefault="00EF74BA" w:rsidP="006A1809">
            <w:pPr>
              <w:rPr>
                <w:rFonts w:ascii="Arial" w:hAnsi="Arial" w:cs="Arial"/>
                <w:sz w:val="18"/>
                <w:szCs w:val="18"/>
              </w:rPr>
            </w:pPr>
          </w:p>
          <w:p w14:paraId="7251B122" w14:textId="3146800C" w:rsidR="00EF74BA" w:rsidRDefault="00EF74BA" w:rsidP="006A1809">
            <w:pPr>
              <w:rPr>
                <w:rFonts w:ascii="Arial" w:hAnsi="Arial" w:cs="Arial"/>
                <w:sz w:val="18"/>
                <w:szCs w:val="18"/>
              </w:rPr>
            </w:pPr>
            <w:r>
              <w:rPr>
                <w:rFonts w:ascii="Arial" w:hAnsi="Arial" w:cs="Arial"/>
                <w:sz w:val="18"/>
                <w:szCs w:val="18"/>
              </w:rPr>
              <w:t>Tablet 10 mg</w:t>
            </w:r>
          </w:p>
          <w:p w14:paraId="2D68AE21" w14:textId="736DA896" w:rsidR="00EF74BA" w:rsidRDefault="00EF74BA" w:rsidP="006A1809">
            <w:pPr>
              <w:rPr>
                <w:rFonts w:ascii="Arial" w:hAnsi="Arial" w:cs="Arial"/>
                <w:sz w:val="18"/>
                <w:szCs w:val="18"/>
              </w:rPr>
            </w:pPr>
            <w:r>
              <w:rPr>
                <w:rFonts w:ascii="Arial" w:hAnsi="Arial" w:cs="Arial"/>
                <w:sz w:val="18"/>
                <w:szCs w:val="18"/>
              </w:rPr>
              <w:t>Tablet 50 mg</w:t>
            </w:r>
          </w:p>
          <w:p w14:paraId="78AB0826" w14:textId="0CC4CD84" w:rsidR="00EF74BA" w:rsidRDefault="00EF74BA" w:rsidP="006A1809">
            <w:pPr>
              <w:rPr>
                <w:rFonts w:ascii="Arial" w:hAnsi="Arial" w:cs="Arial"/>
                <w:sz w:val="18"/>
                <w:szCs w:val="18"/>
              </w:rPr>
            </w:pPr>
            <w:r>
              <w:rPr>
                <w:rFonts w:ascii="Arial" w:hAnsi="Arial" w:cs="Arial"/>
                <w:sz w:val="18"/>
                <w:szCs w:val="18"/>
              </w:rPr>
              <w:t>Tablet 100 mg</w:t>
            </w:r>
          </w:p>
          <w:p w14:paraId="750CEECE" w14:textId="3CC93BAE" w:rsidR="00EF74BA" w:rsidRPr="0054438F" w:rsidRDefault="00EF74BA" w:rsidP="006A1809">
            <w:r>
              <w:rPr>
                <w:rFonts w:ascii="Arial" w:hAnsi="Arial" w:cs="Arial"/>
                <w:sz w:val="18"/>
                <w:szCs w:val="18"/>
              </w:rPr>
              <w:t xml:space="preserve">Pack containing 14 tablets </w:t>
            </w:r>
            <w:proofErr w:type="spellStart"/>
            <w:r>
              <w:rPr>
                <w:rFonts w:ascii="Arial" w:hAnsi="Arial" w:cs="Arial"/>
                <w:sz w:val="18"/>
                <w:szCs w:val="18"/>
              </w:rPr>
              <w:t>venetoclax</w:t>
            </w:r>
            <w:proofErr w:type="spellEnd"/>
            <w:r>
              <w:rPr>
                <w:rFonts w:ascii="Arial" w:hAnsi="Arial" w:cs="Arial"/>
                <w:sz w:val="18"/>
                <w:szCs w:val="18"/>
              </w:rPr>
              <w:t xml:space="preserve"> 10</w:t>
            </w:r>
            <w:r w:rsidR="0013515A">
              <w:rPr>
                <w:rFonts w:ascii="Arial" w:hAnsi="Arial" w:cs="Arial"/>
                <w:sz w:val="18"/>
                <w:szCs w:val="18"/>
              </w:rPr>
              <w:t> </w:t>
            </w:r>
            <w:r>
              <w:rPr>
                <w:rFonts w:ascii="Arial" w:hAnsi="Arial" w:cs="Arial"/>
                <w:sz w:val="18"/>
                <w:szCs w:val="18"/>
              </w:rPr>
              <w:t xml:space="preserve">mg and 7 tablets </w:t>
            </w:r>
            <w:proofErr w:type="spellStart"/>
            <w:r>
              <w:rPr>
                <w:rFonts w:ascii="Arial" w:hAnsi="Arial" w:cs="Arial"/>
                <w:sz w:val="18"/>
                <w:szCs w:val="18"/>
              </w:rPr>
              <w:t>venetoclax</w:t>
            </w:r>
            <w:proofErr w:type="spellEnd"/>
            <w:r>
              <w:rPr>
                <w:rFonts w:ascii="Arial" w:hAnsi="Arial" w:cs="Arial"/>
                <w:sz w:val="18"/>
                <w:szCs w:val="18"/>
              </w:rPr>
              <w:t xml:space="preserve"> 50</w:t>
            </w:r>
            <w:r w:rsidR="0013515A">
              <w:rPr>
                <w:rFonts w:ascii="Arial" w:hAnsi="Arial" w:cs="Arial"/>
                <w:sz w:val="18"/>
                <w:szCs w:val="18"/>
              </w:rPr>
              <w:t> </w:t>
            </w:r>
            <w:r>
              <w:rPr>
                <w:rFonts w:ascii="Arial" w:hAnsi="Arial" w:cs="Arial"/>
                <w:sz w:val="18"/>
                <w:szCs w:val="18"/>
              </w:rPr>
              <w:t xml:space="preserve">mg and 7 tablets </w:t>
            </w:r>
            <w:proofErr w:type="spellStart"/>
            <w:r>
              <w:rPr>
                <w:rFonts w:ascii="Arial" w:hAnsi="Arial" w:cs="Arial"/>
                <w:sz w:val="18"/>
                <w:szCs w:val="18"/>
              </w:rPr>
              <w:t>venetoclax</w:t>
            </w:r>
            <w:proofErr w:type="spellEnd"/>
            <w:r>
              <w:rPr>
                <w:rFonts w:ascii="Arial" w:hAnsi="Arial" w:cs="Arial"/>
                <w:sz w:val="18"/>
                <w:szCs w:val="18"/>
              </w:rPr>
              <w:t xml:space="preserve"> 100</w:t>
            </w:r>
            <w:r w:rsidR="0013515A">
              <w:rPr>
                <w:rFonts w:ascii="Arial" w:hAnsi="Arial" w:cs="Arial"/>
                <w:sz w:val="18"/>
                <w:szCs w:val="18"/>
              </w:rPr>
              <w:t> </w:t>
            </w:r>
            <w:r>
              <w:rPr>
                <w:rFonts w:ascii="Arial" w:hAnsi="Arial" w:cs="Arial"/>
                <w:sz w:val="18"/>
                <w:szCs w:val="18"/>
              </w:rPr>
              <w:t xml:space="preserve">mg and 14 tablets </w:t>
            </w:r>
            <w:proofErr w:type="spellStart"/>
            <w:r>
              <w:rPr>
                <w:rFonts w:ascii="Arial" w:hAnsi="Arial" w:cs="Arial"/>
                <w:sz w:val="18"/>
                <w:szCs w:val="18"/>
              </w:rPr>
              <w:t>venetoclax</w:t>
            </w:r>
            <w:proofErr w:type="spellEnd"/>
            <w:r>
              <w:rPr>
                <w:rFonts w:ascii="Arial" w:hAnsi="Arial" w:cs="Arial"/>
                <w:sz w:val="18"/>
                <w:szCs w:val="18"/>
              </w:rPr>
              <w:t xml:space="preserve"> 100</w:t>
            </w:r>
            <w:r w:rsidR="0013515A">
              <w:rPr>
                <w:rFonts w:ascii="Arial" w:hAnsi="Arial" w:cs="Arial"/>
                <w:sz w:val="18"/>
                <w:szCs w:val="18"/>
              </w:rPr>
              <w:t> </w:t>
            </w:r>
            <w:r>
              <w:rPr>
                <w:rFonts w:ascii="Arial" w:hAnsi="Arial" w:cs="Arial"/>
                <w:sz w:val="18"/>
                <w:szCs w:val="18"/>
              </w:rPr>
              <w:t>mg</w:t>
            </w:r>
          </w:p>
          <w:p w14:paraId="690CAB80" w14:textId="261C2C49" w:rsidR="00EF74BA" w:rsidRDefault="00EF74BA" w:rsidP="006A1809">
            <w:pPr>
              <w:rPr>
                <w:rFonts w:ascii="Arial" w:hAnsi="Arial" w:cs="Arial"/>
                <w:sz w:val="18"/>
                <w:szCs w:val="18"/>
              </w:rPr>
            </w:pPr>
          </w:p>
          <w:p w14:paraId="21DBBDBE" w14:textId="1F10F816" w:rsidR="00EF74BA" w:rsidRDefault="00EF74BA" w:rsidP="006A1809">
            <w:pPr>
              <w:rPr>
                <w:rFonts w:ascii="Arial" w:hAnsi="Arial" w:cs="Arial"/>
                <w:sz w:val="18"/>
                <w:szCs w:val="18"/>
              </w:rPr>
            </w:pPr>
            <w:proofErr w:type="spellStart"/>
            <w:r>
              <w:rPr>
                <w:rFonts w:ascii="Arial" w:hAnsi="Arial" w:cs="Arial"/>
                <w:sz w:val="18"/>
                <w:szCs w:val="18"/>
              </w:rPr>
              <w:t>Venclexta</w:t>
            </w:r>
            <w:proofErr w:type="spellEnd"/>
            <w:r>
              <w:rPr>
                <w:rFonts w:ascii="Arial" w:hAnsi="Arial" w:cs="Arial"/>
                <w:sz w:val="18"/>
                <w:szCs w:val="18"/>
              </w:rPr>
              <w:t>®</w:t>
            </w:r>
          </w:p>
          <w:p w14:paraId="690A3297" w14:textId="4743B973" w:rsidR="00EF74BA" w:rsidRDefault="00EF74BA" w:rsidP="006A1809">
            <w:pPr>
              <w:rPr>
                <w:rFonts w:ascii="Arial" w:hAnsi="Arial" w:cs="Arial"/>
                <w:sz w:val="18"/>
                <w:szCs w:val="18"/>
              </w:rPr>
            </w:pPr>
          </w:p>
          <w:p w14:paraId="0C2E4E84" w14:textId="3C25AF59" w:rsidR="00EF74BA" w:rsidRDefault="00EF74BA" w:rsidP="006A1809">
            <w:pPr>
              <w:rPr>
                <w:rFonts w:ascii="Arial" w:hAnsi="Arial" w:cs="Arial"/>
                <w:sz w:val="18"/>
                <w:szCs w:val="18"/>
              </w:rPr>
            </w:pPr>
            <w:r>
              <w:rPr>
                <w:rFonts w:ascii="Arial" w:hAnsi="Arial" w:cs="Arial"/>
                <w:sz w:val="18"/>
                <w:szCs w:val="18"/>
              </w:rPr>
              <w:t>AbbVie Pty Ltd</w:t>
            </w:r>
          </w:p>
          <w:p w14:paraId="023D8066" w14:textId="77777777" w:rsidR="00EF74BA" w:rsidRDefault="00EF74BA" w:rsidP="006A1809">
            <w:pPr>
              <w:rPr>
                <w:rFonts w:ascii="Arial" w:hAnsi="Arial" w:cs="Arial"/>
                <w:sz w:val="18"/>
                <w:szCs w:val="18"/>
              </w:rPr>
            </w:pPr>
          </w:p>
          <w:p w14:paraId="655C9353" w14:textId="77777777" w:rsidR="0016039F" w:rsidRDefault="0016039F" w:rsidP="006A1809">
            <w:pPr>
              <w:rPr>
                <w:rFonts w:ascii="Arial" w:hAnsi="Arial" w:cs="Arial"/>
                <w:sz w:val="18"/>
                <w:szCs w:val="18"/>
              </w:rPr>
            </w:pPr>
          </w:p>
          <w:p w14:paraId="73330AFA" w14:textId="525D6E48" w:rsidR="00EF74BA" w:rsidRDefault="00EF74BA" w:rsidP="006A1809">
            <w:pPr>
              <w:rPr>
                <w:rFonts w:ascii="Arial" w:hAnsi="Arial" w:cs="Arial"/>
                <w:sz w:val="18"/>
                <w:szCs w:val="18"/>
              </w:rPr>
            </w:pPr>
            <w:r>
              <w:rPr>
                <w:rFonts w:ascii="Arial" w:hAnsi="Arial" w:cs="Arial"/>
                <w:sz w:val="18"/>
                <w:szCs w:val="18"/>
              </w:rPr>
              <w:t>IDELALISIB</w:t>
            </w:r>
          </w:p>
          <w:p w14:paraId="675C1EF3" w14:textId="59BBF939" w:rsidR="00EF74BA" w:rsidRDefault="00EF74BA" w:rsidP="006A1809">
            <w:pPr>
              <w:rPr>
                <w:rFonts w:ascii="Arial" w:hAnsi="Arial" w:cs="Arial"/>
                <w:sz w:val="18"/>
                <w:szCs w:val="18"/>
              </w:rPr>
            </w:pPr>
          </w:p>
          <w:p w14:paraId="1B54D700" w14:textId="161C1CD3" w:rsidR="00EF74BA" w:rsidRDefault="00EF74BA" w:rsidP="006A1809">
            <w:pPr>
              <w:rPr>
                <w:rFonts w:ascii="Arial" w:hAnsi="Arial" w:cs="Arial"/>
                <w:sz w:val="18"/>
                <w:szCs w:val="18"/>
              </w:rPr>
            </w:pPr>
            <w:r>
              <w:rPr>
                <w:rFonts w:ascii="Arial" w:hAnsi="Arial" w:cs="Arial"/>
                <w:sz w:val="18"/>
                <w:szCs w:val="18"/>
              </w:rPr>
              <w:t>Tablet 100 mg</w:t>
            </w:r>
          </w:p>
          <w:p w14:paraId="4F8A8027" w14:textId="6E7AF0E5" w:rsidR="00EF74BA" w:rsidRDefault="00EF74BA" w:rsidP="006A1809">
            <w:pPr>
              <w:rPr>
                <w:rFonts w:ascii="Arial" w:hAnsi="Arial" w:cs="Arial"/>
                <w:sz w:val="18"/>
                <w:szCs w:val="18"/>
              </w:rPr>
            </w:pPr>
            <w:r>
              <w:rPr>
                <w:rFonts w:ascii="Arial" w:hAnsi="Arial" w:cs="Arial"/>
                <w:sz w:val="18"/>
                <w:szCs w:val="18"/>
              </w:rPr>
              <w:t>Tablet 150 mg</w:t>
            </w:r>
          </w:p>
          <w:p w14:paraId="7D786A50" w14:textId="0F937946" w:rsidR="00EF74BA" w:rsidRDefault="00EF74BA" w:rsidP="006A1809">
            <w:pPr>
              <w:rPr>
                <w:rFonts w:ascii="Arial" w:hAnsi="Arial" w:cs="Arial"/>
                <w:sz w:val="18"/>
                <w:szCs w:val="18"/>
              </w:rPr>
            </w:pPr>
          </w:p>
          <w:p w14:paraId="27A02FCC" w14:textId="522005B6" w:rsidR="00EF74BA" w:rsidRDefault="00EF74BA" w:rsidP="006A1809">
            <w:pPr>
              <w:rPr>
                <w:rFonts w:ascii="Arial" w:hAnsi="Arial" w:cs="Arial"/>
                <w:sz w:val="18"/>
                <w:szCs w:val="18"/>
              </w:rPr>
            </w:pPr>
            <w:proofErr w:type="spellStart"/>
            <w:r>
              <w:rPr>
                <w:rFonts w:ascii="Arial" w:hAnsi="Arial" w:cs="Arial"/>
                <w:sz w:val="18"/>
                <w:szCs w:val="18"/>
              </w:rPr>
              <w:t>Zydelig</w:t>
            </w:r>
            <w:proofErr w:type="spellEnd"/>
            <w:r>
              <w:rPr>
                <w:rFonts w:ascii="Arial" w:hAnsi="Arial" w:cs="Arial"/>
                <w:sz w:val="18"/>
                <w:szCs w:val="18"/>
              </w:rPr>
              <w:t>®</w:t>
            </w:r>
          </w:p>
          <w:p w14:paraId="3187F3CE" w14:textId="47A0F3C3" w:rsidR="00EF74BA" w:rsidRDefault="00EF74BA" w:rsidP="006A1809">
            <w:pPr>
              <w:rPr>
                <w:rFonts w:ascii="Arial" w:hAnsi="Arial" w:cs="Arial"/>
                <w:sz w:val="18"/>
                <w:szCs w:val="18"/>
              </w:rPr>
            </w:pPr>
          </w:p>
          <w:p w14:paraId="03CA3490" w14:textId="3883C80A" w:rsidR="00EF74BA" w:rsidRDefault="00EF74BA" w:rsidP="006A1809">
            <w:pPr>
              <w:rPr>
                <w:rFonts w:ascii="Arial" w:hAnsi="Arial" w:cs="Arial"/>
                <w:sz w:val="18"/>
                <w:szCs w:val="18"/>
              </w:rPr>
            </w:pPr>
            <w:r>
              <w:rPr>
                <w:rFonts w:ascii="Arial" w:hAnsi="Arial" w:cs="Arial"/>
                <w:sz w:val="18"/>
                <w:szCs w:val="18"/>
              </w:rPr>
              <w:t>Gilead Sciences Pty Ltd</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F4F2198" w14:textId="24E0FC14" w:rsidR="00EF74BA" w:rsidRPr="006A1809" w:rsidRDefault="00EF74BA" w:rsidP="006A1809">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Multiple indications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9C8C7A5" w14:textId="38710530" w:rsidR="00EF74BA" w:rsidRPr="006A1809" w:rsidRDefault="0013515A" w:rsidP="006A1809">
            <w:pPr>
              <w:keepLines/>
              <w:widowControl w:val="0"/>
              <w:spacing w:after="120"/>
              <w:rPr>
                <w:rFonts w:ascii="Arial" w:hAnsi="Arial" w:cs="Arial"/>
                <w:snapToGrid w:val="0"/>
                <w:sz w:val="18"/>
                <w:szCs w:val="18"/>
                <w:lang w:eastAsia="en-US"/>
              </w:rPr>
            </w:pPr>
            <w:r w:rsidRPr="0013515A">
              <w:rPr>
                <w:rFonts w:ascii="Arial" w:hAnsi="Arial" w:cs="Arial"/>
                <w:color w:val="000000"/>
                <w:sz w:val="18"/>
                <w:szCs w:val="21"/>
                <w:shd w:val="clear" w:color="auto" w:fill="FFFFFF"/>
              </w:rPr>
              <w:t xml:space="preserve">To note that the restrictions for ibrutinib, </w:t>
            </w:r>
            <w:proofErr w:type="spellStart"/>
            <w:r w:rsidRPr="0013515A">
              <w:rPr>
                <w:rFonts w:ascii="Arial" w:hAnsi="Arial" w:cs="Arial"/>
                <w:color w:val="000000"/>
                <w:sz w:val="18"/>
                <w:szCs w:val="21"/>
                <w:shd w:val="clear" w:color="auto" w:fill="FFFFFF"/>
              </w:rPr>
              <w:t>venetoclax</w:t>
            </w:r>
            <w:proofErr w:type="spellEnd"/>
            <w:r w:rsidRPr="0013515A">
              <w:rPr>
                <w:rFonts w:ascii="Arial" w:hAnsi="Arial" w:cs="Arial"/>
                <w:color w:val="000000"/>
                <w:sz w:val="18"/>
                <w:szCs w:val="21"/>
                <w:shd w:val="clear" w:color="auto" w:fill="FFFFFF"/>
              </w:rPr>
              <w:t xml:space="preserve"> and </w:t>
            </w:r>
            <w:proofErr w:type="spellStart"/>
            <w:r w:rsidRPr="0013515A">
              <w:rPr>
                <w:rFonts w:ascii="Arial" w:hAnsi="Arial" w:cs="Arial"/>
                <w:color w:val="000000"/>
                <w:sz w:val="18"/>
                <w:szCs w:val="21"/>
                <w:shd w:val="clear" w:color="auto" w:fill="FFFFFF"/>
              </w:rPr>
              <w:t>idelalisib</w:t>
            </w:r>
            <w:proofErr w:type="spellEnd"/>
            <w:r w:rsidRPr="0013515A">
              <w:rPr>
                <w:rFonts w:ascii="Arial" w:hAnsi="Arial" w:cs="Arial"/>
                <w:color w:val="000000"/>
                <w:sz w:val="18"/>
                <w:szCs w:val="21"/>
                <w:shd w:val="clear" w:color="auto" w:fill="FFFFFF"/>
              </w:rPr>
              <w:t xml:space="preserve"> will be amended to allow 17p deletion to be detected by any </w:t>
            </w:r>
            <w:r w:rsidRPr="003835EB">
              <w:rPr>
                <w:rFonts w:ascii="Arial" w:hAnsi="Arial" w:cs="Arial"/>
                <w:color w:val="000000"/>
                <w:sz w:val="18"/>
                <w:szCs w:val="21"/>
                <w:shd w:val="clear" w:color="auto" w:fill="FFFFFF"/>
              </w:rPr>
              <w:t xml:space="preserve">Medical Benefits Schedule </w:t>
            </w:r>
            <w:r>
              <w:rPr>
                <w:rFonts w:ascii="Arial" w:hAnsi="Arial" w:cs="Arial"/>
                <w:color w:val="000000"/>
                <w:sz w:val="18"/>
                <w:szCs w:val="21"/>
                <w:shd w:val="clear" w:color="auto" w:fill="FFFFFF"/>
              </w:rPr>
              <w:t>(</w:t>
            </w:r>
            <w:r w:rsidRPr="0013515A">
              <w:rPr>
                <w:rFonts w:ascii="Arial" w:hAnsi="Arial" w:cs="Arial"/>
                <w:color w:val="000000"/>
                <w:sz w:val="18"/>
                <w:szCs w:val="21"/>
                <w:shd w:val="clear" w:color="auto" w:fill="FFFFFF"/>
              </w:rPr>
              <w:t>MBS</w:t>
            </w:r>
            <w:r>
              <w:rPr>
                <w:rFonts w:ascii="Arial" w:hAnsi="Arial" w:cs="Arial"/>
                <w:color w:val="000000"/>
                <w:sz w:val="18"/>
                <w:szCs w:val="21"/>
                <w:shd w:val="clear" w:color="auto" w:fill="FFFFFF"/>
              </w:rPr>
              <w:t>)</w:t>
            </w:r>
            <w:r w:rsidRPr="0013515A">
              <w:rPr>
                <w:rFonts w:ascii="Arial" w:hAnsi="Arial" w:cs="Arial"/>
                <w:color w:val="000000"/>
                <w:sz w:val="18"/>
                <w:szCs w:val="21"/>
                <w:shd w:val="clear" w:color="auto" w:fill="FFFFFF"/>
              </w:rPr>
              <w:t xml:space="preserve"> listed test</w:t>
            </w:r>
            <w:r w:rsidR="00E06433">
              <w:rPr>
                <w:rFonts w:ascii="Arial" w:hAnsi="Arial" w:cs="Arial"/>
                <w:color w:val="000000"/>
                <w:sz w:val="18"/>
                <w:szCs w:val="21"/>
                <w:shd w:val="clear" w:color="auto" w:fill="FFFFFF"/>
              </w:rPr>
              <w: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3E69656" w14:textId="613FF470" w:rsidR="00EF74BA" w:rsidRPr="006A1809" w:rsidRDefault="00EF74BA" w:rsidP="0032768B">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Noted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69FCF7F" w14:textId="1C2DDE9E" w:rsidR="00EF74BA" w:rsidRPr="006A1809" w:rsidRDefault="00EF74BA" w:rsidP="0032768B">
            <w:pPr>
              <w:keepLines/>
              <w:spacing w:after="120"/>
              <w:rPr>
                <w:rFonts w:ascii="Arial" w:hAnsi="Arial" w:cs="Arial"/>
                <w:color w:val="000000"/>
                <w:sz w:val="18"/>
                <w:szCs w:val="21"/>
                <w:shd w:val="clear" w:color="auto" w:fill="FFFFFF"/>
              </w:rPr>
            </w:pPr>
            <w:r w:rsidRPr="003835EB">
              <w:rPr>
                <w:rFonts w:ascii="Arial" w:hAnsi="Arial" w:cs="Arial"/>
                <w:color w:val="000000"/>
                <w:sz w:val="18"/>
                <w:szCs w:val="21"/>
                <w:shd w:val="clear" w:color="auto" w:fill="FFFFFF"/>
              </w:rPr>
              <w:t xml:space="preserve">The PBAC noted that the PBS restrictions for ibrutinib, </w:t>
            </w:r>
            <w:proofErr w:type="spellStart"/>
            <w:r w:rsidRPr="003835EB">
              <w:rPr>
                <w:rFonts w:ascii="Arial" w:hAnsi="Arial" w:cs="Arial"/>
                <w:color w:val="000000"/>
                <w:sz w:val="18"/>
                <w:szCs w:val="21"/>
                <w:shd w:val="clear" w:color="auto" w:fill="FFFFFF"/>
              </w:rPr>
              <w:t>venetoclax</w:t>
            </w:r>
            <w:proofErr w:type="spellEnd"/>
            <w:r w:rsidRPr="003835EB">
              <w:rPr>
                <w:rFonts w:ascii="Arial" w:hAnsi="Arial" w:cs="Arial"/>
                <w:color w:val="000000"/>
                <w:sz w:val="18"/>
                <w:szCs w:val="21"/>
                <w:shd w:val="clear" w:color="auto" w:fill="FFFFFF"/>
              </w:rPr>
              <w:t xml:space="preserve"> and </w:t>
            </w:r>
            <w:proofErr w:type="spellStart"/>
            <w:r w:rsidRPr="003835EB">
              <w:rPr>
                <w:rFonts w:ascii="Arial" w:hAnsi="Arial" w:cs="Arial"/>
                <w:color w:val="000000"/>
                <w:sz w:val="18"/>
                <w:szCs w:val="21"/>
                <w:shd w:val="clear" w:color="auto" w:fill="FFFFFF"/>
              </w:rPr>
              <w:t>idelalisib</w:t>
            </w:r>
            <w:proofErr w:type="spellEnd"/>
            <w:r w:rsidRPr="003835EB">
              <w:rPr>
                <w:rFonts w:ascii="Arial" w:hAnsi="Arial" w:cs="Arial"/>
                <w:color w:val="000000"/>
                <w:sz w:val="18"/>
                <w:szCs w:val="21"/>
                <w:shd w:val="clear" w:color="auto" w:fill="FFFFFF"/>
              </w:rPr>
              <w:t xml:space="preserve"> would be updated on 1 January 2022 to state that 17p deletions can be detected using any MBS listed test.</w:t>
            </w:r>
          </w:p>
        </w:tc>
      </w:tr>
      <w:tr w:rsidR="00EF74BA" w:rsidRPr="00D2401D" w14:paraId="35828DE4" w14:textId="77777777" w:rsidTr="002C77D1">
        <w:trPr>
          <w:cantSplit/>
          <w:trHeight w:val="3977"/>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22AC61A" w14:textId="77777777" w:rsidR="00EF74BA" w:rsidRDefault="00EF74BA" w:rsidP="00EF74BA">
            <w:pPr>
              <w:rPr>
                <w:rFonts w:ascii="Arial" w:hAnsi="Arial" w:cs="Arial"/>
                <w:sz w:val="18"/>
                <w:szCs w:val="18"/>
              </w:rPr>
            </w:pPr>
            <w:r>
              <w:rPr>
                <w:rFonts w:ascii="Arial" w:hAnsi="Arial" w:cs="Arial"/>
                <w:sz w:val="18"/>
                <w:szCs w:val="18"/>
              </w:rPr>
              <w:lastRenderedPageBreak/>
              <w:t>LUMACAFTOR + IVACAFTOR</w:t>
            </w:r>
          </w:p>
          <w:p w14:paraId="0C595191" w14:textId="77777777" w:rsidR="00EF74BA" w:rsidRDefault="00EF74BA" w:rsidP="00EF74BA">
            <w:pPr>
              <w:rPr>
                <w:rFonts w:ascii="Arial" w:hAnsi="Arial" w:cs="Arial"/>
                <w:sz w:val="18"/>
                <w:szCs w:val="18"/>
              </w:rPr>
            </w:pPr>
          </w:p>
          <w:p w14:paraId="79BF0FDD" w14:textId="5057CC9C" w:rsidR="00EF74BA" w:rsidRDefault="00EF74BA" w:rsidP="00EF74BA">
            <w:pPr>
              <w:rPr>
                <w:rFonts w:ascii="Arial" w:hAnsi="Arial" w:cs="Arial"/>
                <w:sz w:val="18"/>
                <w:szCs w:val="18"/>
              </w:rPr>
            </w:pPr>
            <w:r>
              <w:rPr>
                <w:rFonts w:ascii="Arial" w:hAnsi="Arial" w:cs="Arial"/>
                <w:sz w:val="18"/>
                <w:szCs w:val="18"/>
              </w:rPr>
              <w:t>Tablet containing lumacaftor 100 mg with ivacaftor 125 mg</w:t>
            </w:r>
          </w:p>
          <w:p w14:paraId="535156BC" w14:textId="727950DF" w:rsidR="00EF74BA" w:rsidRDefault="00EF74BA" w:rsidP="00EF74BA">
            <w:pPr>
              <w:rPr>
                <w:rFonts w:ascii="Arial" w:hAnsi="Arial" w:cs="Arial"/>
                <w:sz w:val="18"/>
                <w:szCs w:val="18"/>
              </w:rPr>
            </w:pPr>
          </w:p>
          <w:p w14:paraId="33206E67" w14:textId="474CB066" w:rsidR="00EF74BA" w:rsidRDefault="00EF74BA" w:rsidP="00EF74BA">
            <w:pPr>
              <w:rPr>
                <w:rFonts w:ascii="Arial" w:hAnsi="Arial" w:cs="Arial"/>
                <w:sz w:val="18"/>
                <w:szCs w:val="18"/>
              </w:rPr>
            </w:pPr>
            <w:proofErr w:type="spellStart"/>
            <w:r>
              <w:rPr>
                <w:rFonts w:ascii="Arial" w:hAnsi="Arial" w:cs="Arial"/>
                <w:sz w:val="18"/>
                <w:szCs w:val="18"/>
              </w:rPr>
              <w:t>Orkambi</w:t>
            </w:r>
            <w:proofErr w:type="spellEnd"/>
          </w:p>
          <w:p w14:paraId="6418118B" w14:textId="0A65EF32" w:rsidR="00EF74BA" w:rsidRDefault="00EF74BA" w:rsidP="00EF74BA">
            <w:pPr>
              <w:rPr>
                <w:rFonts w:ascii="Arial" w:hAnsi="Arial" w:cs="Arial"/>
                <w:sz w:val="18"/>
                <w:szCs w:val="18"/>
              </w:rPr>
            </w:pPr>
          </w:p>
          <w:p w14:paraId="039601A6" w14:textId="422B611A" w:rsidR="00EF74BA" w:rsidRDefault="00EF74BA" w:rsidP="00EF74BA">
            <w:pPr>
              <w:rPr>
                <w:rFonts w:ascii="Arial" w:hAnsi="Arial" w:cs="Arial"/>
                <w:sz w:val="18"/>
                <w:szCs w:val="18"/>
              </w:rPr>
            </w:pPr>
            <w:r>
              <w:rPr>
                <w:rFonts w:ascii="Arial" w:hAnsi="Arial" w:cs="Arial"/>
                <w:sz w:val="18"/>
                <w:szCs w:val="18"/>
              </w:rPr>
              <w:t>Vertex Pharmaceuticals (Australia) Pty Ltd</w:t>
            </w:r>
          </w:p>
          <w:p w14:paraId="13688F6E" w14:textId="5D910469" w:rsidR="00EF74BA" w:rsidRDefault="00EF74BA" w:rsidP="00EF74BA">
            <w:pPr>
              <w:rPr>
                <w:rFonts w:ascii="Arial" w:hAnsi="Arial" w:cs="Arial"/>
                <w:sz w:val="18"/>
                <w:szCs w:val="18"/>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D532A9B" w14:textId="44815B35" w:rsidR="00EF74BA" w:rsidRPr="006A1809" w:rsidRDefault="00EF74BA" w:rsidP="00EF74BA">
            <w:pPr>
              <w:keepLines/>
              <w:widowControl w:val="0"/>
              <w:spacing w:after="120"/>
              <w:rPr>
                <w:rFonts w:ascii="Arial" w:hAnsi="Arial" w:cs="Arial"/>
                <w:snapToGrid w:val="0"/>
                <w:sz w:val="18"/>
                <w:szCs w:val="18"/>
                <w:lang w:eastAsia="en-US"/>
              </w:rPr>
            </w:pPr>
            <w:r>
              <w:rPr>
                <w:rFonts w:ascii="Arial" w:hAnsi="Arial" w:cs="Arial"/>
                <w:snapToGrid w:val="0"/>
                <w:sz w:val="18"/>
                <w:szCs w:val="18"/>
                <w:lang w:eastAsia="en-US"/>
              </w:rPr>
              <w:t>Cystic fibrosis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964643" w14:textId="3D68C847" w:rsidR="00EF74BA" w:rsidRPr="006A1809" w:rsidRDefault="00EF74BA" w:rsidP="00EF74BA">
            <w:pPr>
              <w:keepLines/>
              <w:widowControl w:val="0"/>
              <w:spacing w:after="120"/>
              <w:rPr>
                <w:rFonts w:ascii="Arial" w:hAnsi="Arial" w:cs="Arial"/>
                <w:snapToGrid w:val="0"/>
                <w:sz w:val="18"/>
                <w:szCs w:val="18"/>
                <w:lang w:eastAsia="en-US"/>
              </w:rPr>
            </w:pPr>
            <w:r w:rsidRPr="00EF74BA">
              <w:rPr>
                <w:rFonts w:ascii="Arial" w:hAnsi="Arial" w:cs="Arial"/>
                <w:snapToGrid w:val="0"/>
                <w:sz w:val="18"/>
                <w:szCs w:val="18"/>
                <w:lang w:eastAsia="en-US"/>
              </w:rPr>
              <w:t>To provide additional data as specified in the Managed Access Program</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394B886" w14:textId="38C5E33A" w:rsidR="00EF74BA" w:rsidRPr="003835EB" w:rsidRDefault="00EF74BA" w:rsidP="00EF74BA">
            <w:pPr>
              <w:keepLines/>
              <w:spacing w:after="120"/>
              <w:rPr>
                <w:rFonts w:ascii="Arial" w:hAnsi="Arial" w:cs="Arial"/>
                <w:color w:val="000000"/>
                <w:sz w:val="18"/>
                <w:szCs w:val="21"/>
                <w:shd w:val="clear" w:color="auto" w:fill="FFFFFF"/>
              </w:rPr>
            </w:pPr>
            <w:r>
              <w:rPr>
                <w:rFonts w:ascii="Arial" w:hAnsi="Arial" w:cs="Arial"/>
                <w:color w:val="000000"/>
                <w:sz w:val="18"/>
                <w:szCs w:val="21"/>
                <w:shd w:val="clear" w:color="auto" w:fill="FFFFFF"/>
              </w:rPr>
              <w:t>Advice provided</w:t>
            </w:r>
          </w:p>
        </w:tc>
        <w:tc>
          <w:tcPr>
            <w:tcW w:w="2147" w:type="pct"/>
            <w:tcBorders>
              <w:top w:val="single" w:sz="4" w:space="0" w:color="auto"/>
              <w:left w:val="single" w:sz="4" w:space="0" w:color="auto"/>
              <w:bottom w:val="single" w:sz="4" w:space="0" w:color="auto"/>
              <w:right w:val="single" w:sz="4" w:space="0" w:color="auto"/>
            </w:tcBorders>
            <w:shd w:val="clear" w:color="auto" w:fill="auto"/>
            <w:vAlign w:val="center"/>
          </w:tcPr>
          <w:p w14:paraId="22125CE5" w14:textId="622A8D4D" w:rsidR="00EF74BA" w:rsidRPr="006A1809" w:rsidRDefault="00EF74BA" w:rsidP="00993A36">
            <w:pPr>
              <w:keepLines/>
              <w:spacing w:after="120"/>
              <w:rPr>
                <w:rFonts w:ascii="Arial" w:hAnsi="Arial" w:cs="Arial"/>
                <w:color w:val="000000"/>
                <w:sz w:val="18"/>
                <w:szCs w:val="21"/>
                <w:shd w:val="clear" w:color="auto" w:fill="FFFFFF"/>
              </w:rPr>
            </w:pPr>
            <w:r w:rsidRPr="003835EB">
              <w:rPr>
                <w:rFonts w:ascii="Arial" w:hAnsi="Arial" w:cs="Arial"/>
                <w:color w:val="000000"/>
                <w:sz w:val="18"/>
                <w:szCs w:val="21"/>
                <w:shd w:val="clear" w:color="auto" w:fill="FFFFFF"/>
              </w:rPr>
              <w:t xml:space="preserve">The PBAC noted the additional data and updated analyses included in the resubmission and advised that the updated point estimates for </w:t>
            </w:r>
            <w:r w:rsidR="00E06433">
              <w:rPr>
                <w:rFonts w:ascii="Arial" w:hAnsi="Arial" w:cs="Arial"/>
                <w:color w:val="000000"/>
                <w:sz w:val="18"/>
                <w:szCs w:val="21"/>
                <w:shd w:val="clear" w:color="auto" w:fill="FFFFFF"/>
              </w:rPr>
              <w:t>relative rate of decline (</w:t>
            </w:r>
            <w:r w:rsidRPr="003835EB">
              <w:rPr>
                <w:rFonts w:ascii="Arial" w:hAnsi="Arial" w:cs="Arial"/>
                <w:color w:val="000000"/>
                <w:sz w:val="18"/>
                <w:szCs w:val="21"/>
                <w:shd w:val="clear" w:color="auto" w:fill="FFFFFF"/>
              </w:rPr>
              <w:t>rROD</w:t>
            </w:r>
            <w:r w:rsidR="00E06433">
              <w:rPr>
                <w:rFonts w:ascii="Arial" w:hAnsi="Arial" w:cs="Arial"/>
                <w:color w:val="000000"/>
                <w:sz w:val="18"/>
                <w:szCs w:val="21"/>
                <w:shd w:val="clear" w:color="auto" w:fill="FFFFFF"/>
              </w:rPr>
              <w:t>,</w:t>
            </w:r>
            <w:r w:rsidRPr="003835EB">
              <w:rPr>
                <w:rFonts w:ascii="Arial" w:hAnsi="Arial" w:cs="Arial"/>
                <w:color w:val="000000"/>
                <w:sz w:val="18"/>
                <w:szCs w:val="21"/>
                <w:shd w:val="clear" w:color="auto" w:fill="FFFFFF"/>
              </w:rPr>
              <w:t xml:space="preserve">6+ years) provided (for up to 5 years of follow-up) were less than 42%. Specifically, for the new analysis that accounted for censoring, the point estimate of the </w:t>
            </w:r>
            <w:proofErr w:type="spellStart"/>
            <w:r w:rsidRPr="003835EB">
              <w:rPr>
                <w:rFonts w:ascii="Arial" w:hAnsi="Arial" w:cs="Arial"/>
                <w:color w:val="000000"/>
                <w:sz w:val="18"/>
                <w:szCs w:val="21"/>
                <w:shd w:val="clear" w:color="auto" w:fill="FFFFFF"/>
              </w:rPr>
              <w:t>rROD</w:t>
            </w:r>
            <w:proofErr w:type="spellEnd"/>
            <w:r w:rsidRPr="003835EB">
              <w:rPr>
                <w:rFonts w:ascii="Arial" w:hAnsi="Arial" w:cs="Arial"/>
                <w:color w:val="000000"/>
                <w:sz w:val="18"/>
                <w:szCs w:val="21"/>
                <w:shd w:val="clear" w:color="auto" w:fill="FFFFFF"/>
              </w:rPr>
              <w:t xml:space="preserve"> was 40%. While the submission asserted that the point estimate of 42% had been validated within acceptable margins of error, the PBAC noted that the updated US</w:t>
            </w:r>
            <w:r w:rsidR="00E06433">
              <w:rPr>
                <w:rFonts w:ascii="Arial" w:hAnsi="Arial" w:cs="Arial"/>
                <w:color w:val="000000"/>
                <w:sz w:val="18"/>
                <w:szCs w:val="21"/>
                <w:shd w:val="clear" w:color="auto" w:fill="FFFFFF"/>
              </w:rPr>
              <w:t xml:space="preserve"> </w:t>
            </w:r>
            <w:r w:rsidR="00E06433" w:rsidRPr="00E06433">
              <w:rPr>
                <w:rFonts w:ascii="Arial" w:hAnsi="Arial" w:cs="Arial"/>
                <w:color w:val="000000"/>
                <w:sz w:val="18"/>
                <w:szCs w:val="21"/>
                <w:shd w:val="clear" w:color="auto" w:fill="FFFFFF"/>
              </w:rPr>
              <w:t>Cystic Fibrosis Foundation Patient Registry</w:t>
            </w:r>
            <w:r w:rsidR="003901EF">
              <w:rPr>
                <w:rFonts w:ascii="Arial" w:hAnsi="Arial" w:cs="Arial"/>
                <w:color w:val="000000"/>
                <w:sz w:val="18"/>
                <w:szCs w:val="21"/>
                <w:shd w:val="clear" w:color="auto" w:fill="FFFFFF"/>
              </w:rPr>
              <w:t xml:space="preserve"> (</w:t>
            </w:r>
            <w:r w:rsidRPr="003835EB">
              <w:rPr>
                <w:rFonts w:ascii="Arial" w:hAnsi="Arial" w:cs="Arial"/>
                <w:color w:val="000000"/>
                <w:sz w:val="18"/>
                <w:szCs w:val="21"/>
                <w:shd w:val="clear" w:color="auto" w:fill="FFFFFF"/>
              </w:rPr>
              <w:t>CFFPR</w:t>
            </w:r>
            <w:r w:rsidR="003901EF">
              <w:rPr>
                <w:rFonts w:ascii="Arial" w:hAnsi="Arial" w:cs="Arial"/>
                <w:color w:val="000000"/>
                <w:sz w:val="18"/>
                <w:szCs w:val="21"/>
                <w:shd w:val="clear" w:color="auto" w:fill="FFFFFF"/>
              </w:rPr>
              <w:t xml:space="preserve">) </w:t>
            </w:r>
            <w:r w:rsidRPr="003835EB">
              <w:rPr>
                <w:rFonts w:ascii="Arial" w:hAnsi="Arial" w:cs="Arial"/>
                <w:color w:val="000000"/>
                <w:sz w:val="18"/>
                <w:szCs w:val="21"/>
                <w:shd w:val="clear" w:color="auto" w:fill="FFFFFF"/>
              </w:rPr>
              <w:t xml:space="preserve">analysis and the pre-specified US CFFPR (PASS108 IA4) analysis did not substantiate an assumption of a </w:t>
            </w:r>
            <w:proofErr w:type="spellStart"/>
            <w:r w:rsidRPr="003835EB">
              <w:rPr>
                <w:rFonts w:ascii="Arial" w:hAnsi="Arial" w:cs="Arial"/>
                <w:color w:val="000000"/>
                <w:sz w:val="18"/>
                <w:szCs w:val="21"/>
                <w:shd w:val="clear" w:color="auto" w:fill="FFFFFF"/>
              </w:rPr>
              <w:t>rROD</w:t>
            </w:r>
            <w:proofErr w:type="spellEnd"/>
            <w:r w:rsidRPr="003835EB">
              <w:rPr>
                <w:rFonts w:ascii="Arial" w:hAnsi="Arial" w:cs="Arial"/>
                <w:color w:val="000000"/>
                <w:sz w:val="18"/>
                <w:szCs w:val="21"/>
                <w:shd w:val="clear" w:color="auto" w:fill="FFFFFF"/>
              </w:rPr>
              <w:t xml:space="preserve"> in </w:t>
            </w:r>
            <w:r w:rsidR="003901EF" w:rsidRPr="003901EF">
              <w:rPr>
                <w:rFonts w:ascii="Arial" w:hAnsi="Arial" w:cs="Arial"/>
                <w:color w:val="000000"/>
                <w:sz w:val="18"/>
                <w:szCs w:val="21"/>
                <w:shd w:val="clear" w:color="auto" w:fill="FFFFFF"/>
              </w:rPr>
              <w:t xml:space="preserve">percent predicted forced expiratory volume in one second </w:t>
            </w:r>
            <w:r w:rsidR="003901EF">
              <w:rPr>
                <w:rFonts w:ascii="Arial" w:hAnsi="Arial" w:cs="Arial"/>
                <w:color w:val="000000"/>
                <w:sz w:val="18"/>
                <w:szCs w:val="21"/>
                <w:shd w:val="clear" w:color="auto" w:fill="FFFFFF"/>
              </w:rPr>
              <w:t>(</w:t>
            </w:r>
            <w:r w:rsidRPr="003835EB">
              <w:rPr>
                <w:rFonts w:ascii="Arial" w:hAnsi="Arial" w:cs="Arial"/>
                <w:color w:val="000000"/>
                <w:sz w:val="18"/>
                <w:szCs w:val="21"/>
                <w:shd w:val="clear" w:color="auto" w:fill="FFFFFF"/>
              </w:rPr>
              <w:t>ppFEV</w:t>
            </w:r>
            <w:r w:rsidRPr="006079DC">
              <w:rPr>
                <w:rFonts w:ascii="Arial" w:hAnsi="Arial" w:cs="Arial"/>
                <w:color w:val="000000"/>
                <w:sz w:val="18"/>
                <w:szCs w:val="21"/>
                <w:shd w:val="clear" w:color="auto" w:fill="FFFFFF"/>
                <w:vertAlign w:val="subscript"/>
              </w:rPr>
              <w:t>1</w:t>
            </w:r>
            <w:r w:rsidR="003901EF">
              <w:rPr>
                <w:rFonts w:ascii="Arial" w:hAnsi="Arial" w:cs="Arial"/>
                <w:color w:val="000000"/>
                <w:sz w:val="18"/>
                <w:szCs w:val="21"/>
                <w:shd w:val="clear" w:color="auto" w:fill="FFFFFF"/>
              </w:rPr>
              <w:t>)</w:t>
            </w:r>
            <w:r w:rsidRPr="003835EB">
              <w:rPr>
                <w:rFonts w:ascii="Arial" w:hAnsi="Arial" w:cs="Arial"/>
                <w:color w:val="000000"/>
                <w:sz w:val="18"/>
                <w:szCs w:val="21"/>
                <w:shd w:val="clear" w:color="auto" w:fill="FFFFFF"/>
              </w:rPr>
              <w:t xml:space="preserve"> for LUM/IVA compared to </w:t>
            </w:r>
            <w:r w:rsidR="003901EF">
              <w:rPr>
                <w:rFonts w:ascii="Arial" w:hAnsi="Arial" w:cs="Arial"/>
                <w:color w:val="000000"/>
                <w:sz w:val="18"/>
                <w:szCs w:val="21"/>
                <w:shd w:val="clear" w:color="auto" w:fill="FFFFFF"/>
              </w:rPr>
              <w:t>best supportive care</w:t>
            </w:r>
            <w:r w:rsidR="003901EF" w:rsidRPr="003835EB">
              <w:rPr>
                <w:rFonts w:ascii="Arial" w:hAnsi="Arial" w:cs="Arial"/>
                <w:color w:val="000000"/>
                <w:sz w:val="18"/>
                <w:szCs w:val="21"/>
                <w:shd w:val="clear" w:color="auto" w:fill="FFFFFF"/>
              </w:rPr>
              <w:t xml:space="preserve"> </w:t>
            </w:r>
            <w:r w:rsidRPr="003835EB">
              <w:rPr>
                <w:rFonts w:ascii="Arial" w:hAnsi="Arial" w:cs="Arial"/>
                <w:color w:val="000000"/>
                <w:sz w:val="18"/>
                <w:szCs w:val="21"/>
                <w:shd w:val="clear" w:color="auto" w:fill="FFFFFF"/>
              </w:rPr>
              <w:t>of at least 42%. Therefore, the PBAC’s advice to the Minister was that of the available estimates, and notwithstanding residual concerns about bias in the presented analyses, the most reasonable point estimate value for the rate of decline in lung function for LUM/IVA, for the purposes of the Managed Access Program, is 40%.</w:t>
            </w:r>
            <w:r w:rsidR="003901EF">
              <w:rPr>
                <w:rFonts w:ascii="Arial" w:hAnsi="Arial" w:cs="Arial"/>
                <w:color w:val="000000"/>
                <w:sz w:val="18"/>
                <w:szCs w:val="21"/>
                <w:shd w:val="clear" w:color="auto" w:fill="FFFFFF"/>
              </w:rPr>
              <w:t xml:space="preserve"> </w:t>
            </w:r>
          </w:p>
        </w:tc>
      </w:tr>
    </w:tbl>
    <w:p w14:paraId="34534BB3" w14:textId="3AF18415" w:rsidR="00952ADE" w:rsidRDefault="00952ADE">
      <w:pPr>
        <w:rPr>
          <w:rFonts w:asciiTheme="minorHAnsi" w:hAnsiTheme="minorHAnsi" w:cstheme="minorHAnsi"/>
          <w:sz w:val="18"/>
          <w:szCs w:val="18"/>
          <w:lang w:val="en-US"/>
        </w:rPr>
      </w:pPr>
    </w:p>
    <w:p w14:paraId="4E516232" w14:textId="77777777" w:rsidR="003835EB" w:rsidRDefault="003835EB">
      <w:pPr>
        <w:rPr>
          <w:rFonts w:asciiTheme="minorHAnsi" w:hAnsiTheme="minorHAnsi" w:cstheme="minorHAnsi"/>
          <w:sz w:val="18"/>
          <w:szCs w:val="18"/>
          <w:lang w:val="en-US"/>
        </w:rPr>
      </w:pPr>
    </w:p>
    <w:p w14:paraId="662F0672" w14:textId="351735AE" w:rsidR="00952ADE" w:rsidRDefault="00952ADE">
      <w:pPr>
        <w:rPr>
          <w:rFonts w:asciiTheme="minorHAnsi" w:hAnsiTheme="minorHAnsi" w:cstheme="minorHAnsi"/>
          <w:sz w:val="18"/>
          <w:szCs w:val="18"/>
          <w:lang w:val="en-US"/>
        </w:rPr>
      </w:pPr>
    </w:p>
    <w:p w14:paraId="56732E20" w14:textId="1BBD5A45" w:rsidR="00952ADE" w:rsidRDefault="00952ADE">
      <w:pPr>
        <w:rPr>
          <w:rFonts w:asciiTheme="minorHAnsi" w:hAnsiTheme="minorHAnsi" w:cstheme="minorHAnsi"/>
          <w:sz w:val="18"/>
          <w:szCs w:val="18"/>
          <w:lang w:val="en-US"/>
        </w:rPr>
      </w:pPr>
    </w:p>
    <w:p w14:paraId="4A3CB7F9" w14:textId="39DD5A91" w:rsidR="00952ADE" w:rsidRDefault="00952ADE">
      <w:pPr>
        <w:rPr>
          <w:rFonts w:asciiTheme="minorHAnsi" w:hAnsiTheme="minorHAnsi" w:cstheme="minorHAnsi"/>
          <w:sz w:val="18"/>
          <w:szCs w:val="18"/>
          <w:lang w:val="en-US"/>
        </w:rPr>
      </w:pPr>
    </w:p>
    <w:p w14:paraId="7BE8411E" w14:textId="181727F1" w:rsidR="00952ADE" w:rsidRDefault="00952ADE">
      <w:pPr>
        <w:rPr>
          <w:rFonts w:asciiTheme="minorHAnsi" w:hAnsiTheme="minorHAnsi" w:cstheme="minorHAnsi"/>
          <w:sz w:val="18"/>
          <w:szCs w:val="18"/>
          <w:lang w:val="en-US"/>
        </w:rPr>
      </w:pPr>
    </w:p>
    <w:p w14:paraId="4B640EC2" w14:textId="589709E2" w:rsidR="00952ADE" w:rsidRDefault="00952ADE">
      <w:pPr>
        <w:rPr>
          <w:rFonts w:asciiTheme="minorHAnsi" w:hAnsiTheme="minorHAnsi" w:cstheme="minorHAnsi"/>
          <w:sz w:val="18"/>
          <w:szCs w:val="18"/>
          <w:lang w:val="en-US"/>
        </w:rPr>
      </w:pPr>
    </w:p>
    <w:p w14:paraId="35630209" w14:textId="3251F26E" w:rsidR="00952ADE" w:rsidRDefault="00952ADE">
      <w:pPr>
        <w:rPr>
          <w:rFonts w:asciiTheme="minorHAnsi" w:hAnsiTheme="minorHAnsi" w:cstheme="minorHAnsi"/>
          <w:sz w:val="18"/>
          <w:szCs w:val="18"/>
          <w:lang w:val="en-US"/>
        </w:rPr>
      </w:pPr>
    </w:p>
    <w:p w14:paraId="0CCE33AA" w14:textId="5DA0C218" w:rsidR="00952ADE" w:rsidRDefault="00952ADE">
      <w:pPr>
        <w:rPr>
          <w:rFonts w:asciiTheme="minorHAnsi" w:hAnsiTheme="minorHAnsi" w:cstheme="minorHAnsi"/>
          <w:sz w:val="18"/>
          <w:szCs w:val="18"/>
          <w:lang w:val="en-US"/>
        </w:rPr>
      </w:pPr>
    </w:p>
    <w:p w14:paraId="7B42FB8A" w14:textId="53B8E1C1" w:rsidR="00952ADE" w:rsidRDefault="00952ADE">
      <w:pPr>
        <w:rPr>
          <w:rFonts w:asciiTheme="minorHAnsi" w:hAnsiTheme="minorHAnsi" w:cstheme="minorHAnsi"/>
          <w:sz w:val="18"/>
          <w:szCs w:val="18"/>
          <w:lang w:val="en-US"/>
        </w:rPr>
      </w:pPr>
    </w:p>
    <w:p w14:paraId="76B9966E" w14:textId="48CCFAB0" w:rsidR="00952ADE" w:rsidRDefault="00952ADE">
      <w:pPr>
        <w:rPr>
          <w:rFonts w:asciiTheme="minorHAnsi" w:hAnsiTheme="minorHAnsi" w:cstheme="minorHAnsi"/>
          <w:sz w:val="18"/>
          <w:szCs w:val="18"/>
          <w:lang w:val="en-US"/>
        </w:rPr>
      </w:pPr>
    </w:p>
    <w:p w14:paraId="7ABA0E2C" w14:textId="4EBE9ED3" w:rsidR="00952ADE" w:rsidRDefault="00952ADE">
      <w:pPr>
        <w:rPr>
          <w:rFonts w:asciiTheme="minorHAnsi" w:hAnsiTheme="minorHAnsi" w:cstheme="minorHAnsi"/>
          <w:sz w:val="18"/>
          <w:szCs w:val="18"/>
          <w:lang w:val="en-US"/>
        </w:rPr>
      </w:pPr>
    </w:p>
    <w:p w14:paraId="01DFF3C6" w14:textId="0797B4B8" w:rsidR="00952ADE" w:rsidRDefault="00952ADE">
      <w:pPr>
        <w:rPr>
          <w:rFonts w:asciiTheme="minorHAnsi" w:hAnsiTheme="minorHAnsi" w:cstheme="minorHAnsi"/>
          <w:sz w:val="18"/>
          <w:szCs w:val="18"/>
          <w:lang w:val="en-US"/>
        </w:rPr>
      </w:pPr>
    </w:p>
    <w:p w14:paraId="61FCBCC1" w14:textId="37E214A4" w:rsidR="00952ADE" w:rsidRDefault="00952ADE">
      <w:pPr>
        <w:rPr>
          <w:rFonts w:asciiTheme="minorHAnsi" w:hAnsiTheme="minorHAnsi" w:cstheme="minorHAnsi"/>
          <w:sz w:val="18"/>
          <w:szCs w:val="18"/>
          <w:lang w:val="en-US"/>
        </w:rPr>
      </w:pPr>
    </w:p>
    <w:p w14:paraId="44B18B02" w14:textId="6A2E930E" w:rsidR="00952ADE" w:rsidRDefault="00952ADE">
      <w:pPr>
        <w:rPr>
          <w:rFonts w:asciiTheme="minorHAnsi" w:hAnsiTheme="minorHAnsi" w:cstheme="minorHAnsi"/>
          <w:sz w:val="18"/>
          <w:szCs w:val="18"/>
          <w:lang w:val="en-US"/>
        </w:rPr>
      </w:pPr>
    </w:p>
    <w:p w14:paraId="12A4F9AF" w14:textId="2330F347"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6CE3C41E" w14:textId="5E1C6509"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w:t>
            </w:r>
            <w:proofErr w:type="gramStart"/>
            <w:r w:rsidRPr="001D4E5E">
              <w:rPr>
                <w:rFonts w:ascii="Arial" w:hAnsi="Arial" w:cs="Arial"/>
                <w:color w:val="000000"/>
                <w:sz w:val="18"/>
                <w:szCs w:val="18"/>
              </w:rPr>
              <w:t>and also</w:t>
            </w:r>
            <w:proofErr w:type="gramEnd"/>
            <w:r w:rsidRPr="001D4E5E">
              <w:rPr>
                <w:rFonts w:ascii="Arial" w:hAnsi="Arial" w:cs="Arial"/>
                <w:color w:val="000000"/>
                <w:sz w:val="18"/>
                <w:szCs w:val="18"/>
              </w:rPr>
              <w:t xml:space="preserve">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 xml:space="preserve">An Early Re-entry Pathway may be nominated by the PBAC where the PBAC considers that the remaining issues could be easily </w:t>
            </w:r>
            <w:proofErr w:type="gramStart"/>
            <w:r w:rsidRPr="001D4E5E">
              <w:rPr>
                <w:rFonts w:ascii="Arial" w:hAnsi="Arial" w:cs="Arial"/>
                <w:sz w:val="18"/>
                <w:szCs w:val="18"/>
              </w:rPr>
              <w:t>resolved</w:t>
            </w:r>
            <w:proofErr w:type="gramEnd"/>
            <w:r w:rsidRPr="001D4E5E">
              <w:rPr>
                <w:rFonts w:ascii="Arial" w:hAnsi="Arial" w:cs="Arial"/>
                <w:sz w:val="18"/>
                <w:szCs w:val="18"/>
              </w:rPr>
              <w:t xml:space="preserve"> and the medicine or vaccine does not represent HATV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588324D0" w:rsidR="00762FCA" w:rsidRDefault="00741F62" w:rsidP="00571206">
    <w:pPr>
      <w:pStyle w:val="Header"/>
      <w:jc w:val="center"/>
      <w:rPr>
        <w:rFonts w:ascii="Arial" w:hAnsi="Arial" w:cs="Arial"/>
        <w:b/>
      </w:rPr>
    </w:pPr>
    <w:r>
      <w:rPr>
        <w:rFonts w:ascii="Arial" w:hAnsi="Arial" w:cs="Arial"/>
        <w:b/>
      </w:rPr>
      <w:t>DEC</w:t>
    </w:r>
    <w:r w:rsidR="00411A4D">
      <w:rPr>
        <w:rFonts w:ascii="Arial" w:hAnsi="Arial" w:cs="Arial"/>
        <w:b/>
      </w:rPr>
      <w:t>EMBER</w:t>
    </w:r>
    <w:r w:rsidR="00762FCA">
      <w:rPr>
        <w:rFonts w:ascii="Arial" w:hAnsi="Arial" w:cs="Arial"/>
        <w:b/>
      </w:rPr>
      <w:t xml:space="preserve"> 2021 PBAC MEETING</w:t>
    </w:r>
  </w:p>
  <w:p w14:paraId="0E28AC1B" w14:textId="77777777" w:rsidR="00762FCA" w:rsidRPr="0071356F" w:rsidRDefault="00762FCA"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9"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4"/>
  </w:num>
  <w:num w:numId="4">
    <w:abstractNumId w:val="25"/>
  </w:num>
  <w:num w:numId="5">
    <w:abstractNumId w:val="13"/>
  </w:num>
  <w:num w:numId="6">
    <w:abstractNumId w:val="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0"/>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4"/>
  </w:num>
  <w:num w:numId="18">
    <w:abstractNumId w:val="46"/>
  </w:num>
  <w:num w:numId="19">
    <w:abstractNumId w:val="5"/>
  </w:num>
  <w:num w:numId="20">
    <w:abstractNumId w:val="14"/>
  </w:num>
  <w:num w:numId="21">
    <w:abstractNumId w:val="16"/>
  </w:num>
  <w:num w:numId="22">
    <w:abstractNumId w:val="42"/>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5"/>
  </w:num>
  <w:num w:numId="31">
    <w:abstractNumId w:val="17"/>
  </w:num>
  <w:num w:numId="32">
    <w:abstractNumId w:val="38"/>
  </w:num>
  <w:num w:numId="33">
    <w:abstractNumId w:val="43"/>
  </w:num>
  <w:num w:numId="34">
    <w:abstractNumId w:val="41"/>
  </w:num>
  <w:num w:numId="35">
    <w:abstractNumId w:val="3"/>
  </w:num>
  <w:num w:numId="36">
    <w:abstractNumId w:val="39"/>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7"/>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D25"/>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3C71"/>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307F"/>
    <w:rsid w:val="008639AD"/>
    <w:rsid w:val="00863C1F"/>
    <w:rsid w:val="00866BCC"/>
    <w:rsid w:val="00870856"/>
    <w:rsid w:val="0087157B"/>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3A36"/>
    <w:rsid w:val="00994F4D"/>
    <w:rsid w:val="0099582B"/>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0FD5"/>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5D27"/>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2022-01-28T02:49:00Z</dcterms:created>
  <dcterms:modified xsi:type="dcterms:W3CDTF">2022-01-28T02:49:00Z</dcterms:modified>
</cp:coreProperties>
</file>